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BC7737" w:rsidRPr="00D94E11" w:rsidTr="00CE7290">
        <w:tc>
          <w:tcPr>
            <w:tcW w:w="5240" w:type="dxa"/>
          </w:tcPr>
          <w:p w:rsidR="0011315E" w:rsidRPr="00AF56DD" w:rsidRDefault="008F26BC" w:rsidP="00E85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F56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Appendix III:</w:t>
            </w:r>
            <w:r w:rsidRPr="00AF56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Overarching Framework of Qualifications of the European Higher Education Area</w:t>
            </w:r>
            <w:r w:rsidR="00E85A30" w:rsidRPr="00AF56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AF56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(revised 2018) </w:t>
            </w:r>
          </w:p>
        </w:tc>
        <w:tc>
          <w:tcPr>
            <w:tcW w:w="5387" w:type="dxa"/>
          </w:tcPr>
          <w:p w:rsidR="00682B26" w:rsidRPr="00466B9A" w:rsidRDefault="00466B9A" w:rsidP="0046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Додаток</w:t>
            </w:r>
            <w:r w:rsidRPr="004A18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III: </w:t>
            </w:r>
            <w:r w:rsidRPr="00EB2D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Загальна</w:t>
            </w:r>
            <w:r w:rsidR="00AF5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амка кваліфікацій Європейського простору вищої освіти (редакція 2018 р.</w:t>
            </w:r>
            <w:r w:rsidRPr="004A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C7737" w:rsidRPr="00D94E11" w:rsidTr="00CE7290">
        <w:tc>
          <w:tcPr>
            <w:tcW w:w="5240" w:type="dxa"/>
          </w:tcPr>
          <w:p w:rsidR="008F26BC" w:rsidRPr="00AF56DD" w:rsidRDefault="008F26BC" w:rsidP="00AF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F56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 FRAMEWORK OF QUALIFICATIONS FOR THE EUROPEAN HIGHER</w:t>
            </w:r>
            <w:r w:rsidR="00AF5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56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EDUCATION AREA</w:t>
            </w:r>
          </w:p>
        </w:tc>
        <w:tc>
          <w:tcPr>
            <w:tcW w:w="5387" w:type="dxa"/>
          </w:tcPr>
          <w:p w:rsidR="0011315E" w:rsidRPr="00466B9A" w:rsidRDefault="00466B9A" w:rsidP="00AF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ЗАГАЛЬНА</w:t>
            </w:r>
            <w:r w:rsidRPr="004A18D4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рамка кваліфікацій Європейського простору вищої освіти</w:t>
            </w:r>
          </w:p>
        </w:tc>
      </w:tr>
      <w:tr w:rsidR="00BC7737" w:rsidRPr="00D94E11" w:rsidTr="00CE7290">
        <w:tc>
          <w:tcPr>
            <w:tcW w:w="5240" w:type="dxa"/>
          </w:tcPr>
          <w:p w:rsidR="0011315E" w:rsidRPr="00AF56DD" w:rsidRDefault="008F26BC" w:rsidP="00AF5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56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Paris Conference of European Ministers Responsible for Higher Education 24-25 May 2018 adopted</w:t>
            </w:r>
            <w:r w:rsidR="00AF56DD" w:rsidRPr="00AF56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F56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revised overarching framework for qualifications in the EHEA, implementing the commitment in the</w:t>
            </w:r>
            <w:r w:rsidR="00AF56DD" w:rsidRPr="00AF56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F56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Yerevan Communiqué. The revised overarching framework for qualifications in the EHEA comprises the</w:t>
            </w:r>
            <w:r w:rsidR="00AF56DD" w:rsidRPr="00AF56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F56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short cycle, the first cycle, the second cycle and the third cycle generic descriptors for each cycle based</w:t>
            </w:r>
            <w:r w:rsidR="00AF56DD" w:rsidRPr="00AF56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F56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 learning outcomes and competences, and credit ranges in the short cycle, first and second cycles.</w:t>
            </w:r>
            <w:r w:rsidR="00AF56DD" w:rsidRPr="00AF56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F56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Ministers committed themselves to elaborating national frameworks for qualifications compatible with the</w:t>
            </w:r>
            <w:r w:rsidR="00AF56DD" w:rsidRPr="00AF56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F56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overarching framework for qualifications in the EHEA. While recognising that each country decides</w:t>
            </w:r>
            <w:r w:rsidR="00AF56DD" w:rsidRPr="00AF56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F56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whether and how to incorporate short cycle qualifications within its own national framework, the Paris</w:t>
            </w:r>
            <w:r w:rsidR="00AF56DD" w:rsidRPr="00AF56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F56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Communiqué underlined the role ECTS-based short cycle qualifications play in preparing students for</w:t>
            </w:r>
            <w:r w:rsidR="00AF56DD" w:rsidRPr="00AF56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F56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employment and further studies as well as in improving social cohesion.</w:t>
            </w:r>
            <w:r w:rsidR="00AF56DD" w:rsidRPr="00AF56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387" w:type="dxa"/>
          </w:tcPr>
          <w:p w:rsidR="00006002" w:rsidRPr="00AF56DD" w:rsidRDefault="00AF56DD" w:rsidP="000153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Паризька конференція європейських міністрів, відповідальних за вищу освіту,</w:t>
            </w:r>
            <w:r w:rsidRPr="004A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24-25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травня 2018 р. прийняла оновлену загальну Рамку кваліфікацій в ЄПВО, виконуючи зобов’язання Єреванського Комюніке. Оновлена загальна Рамка кваліфікацій в ЄПВО включає загальні характеристики короткого циклу, першого, другого та третього циклів для кожного циклу на основі результатів навчання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</w:t>
            </w:r>
            <w:r w:rsidR="0001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proofErr w:type="spellEnd"/>
            <w:r w:rsidR="0001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також кредитні діапазони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короткому циклі, першому </w:t>
            </w:r>
            <w:r w:rsidR="0001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другому циклах. Міністри взяли на себе обов’язок розробити національні рамки кваліфікацій, сумісні із загаль</w:t>
            </w:r>
            <w:r w:rsidR="0001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ною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амкою кваліфікацій у ЄПВО. Визнаючи, що кожна країна сама вирішує, чи запроваджувати </w:t>
            </w:r>
            <w:r w:rsidR="0001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кваліфікації короткого циклу в межах своєї національної рамки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яким чином, Паризьке комюніке підкреслює роль, яку кваліфікації короткого циклу на основі ЄКТС відіграють у підготовці студентів до </w:t>
            </w:r>
            <w:r w:rsidR="0001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працевлаштування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подальшого навчання, а також у покращенні соціально</w:t>
            </w:r>
            <w:r w:rsidR="0001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згуртування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8243F" w:rsidRDefault="0018243F"/>
    <w:tbl>
      <w:tblPr>
        <w:tblStyle w:val="a8"/>
        <w:tblW w:w="10648" w:type="dxa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47"/>
        <w:gridCol w:w="3875"/>
        <w:gridCol w:w="1344"/>
      </w:tblGrid>
      <w:tr w:rsidR="00003E69" w:rsidTr="008E15AA">
        <w:trPr>
          <w:trHeight w:val="463"/>
        </w:trPr>
        <w:tc>
          <w:tcPr>
            <w:tcW w:w="10648" w:type="dxa"/>
            <w:gridSpan w:val="5"/>
          </w:tcPr>
          <w:p w:rsidR="00380F9A" w:rsidRPr="00380F9A" w:rsidRDefault="00003E69" w:rsidP="00184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1E4A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амка кваліфікацій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4A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Європейського простору вищої освіти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(РК-ЄПВО)</w:t>
            </w:r>
          </w:p>
        </w:tc>
      </w:tr>
      <w:tr w:rsidR="00380F9A" w:rsidRPr="00380F9A" w:rsidTr="008E15AA">
        <w:trPr>
          <w:trHeight w:val="399"/>
        </w:trPr>
        <w:tc>
          <w:tcPr>
            <w:tcW w:w="10648" w:type="dxa"/>
            <w:gridSpan w:val="5"/>
          </w:tcPr>
          <w:p w:rsidR="00380F9A" w:rsidRDefault="00380F9A" w:rsidP="00277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0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Qualifications</w:t>
            </w:r>
            <w:proofErr w:type="spellEnd"/>
            <w:r w:rsidRPr="00380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Framework</w:t>
            </w:r>
            <w:proofErr w:type="spellEnd"/>
            <w:r w:rsidRPr="00380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proofErr w:type="spellEnd"/>
            <w:r w:rsidRPr="00380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380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European Higher Education Area (QF-EHEA)</w:t>
            </w:r>
          </w:p>
        </w:tc>
      </w:tr>
      <w:tr w:rsidR="00003E69" w:rsidTr="008E15AA">
        <w:tc>
          <w:tcPr>
            <w:tcW w:w="1555" w:type="dxa"/>
          </w:tcPr>
          <w:p w:rsidR="00003E69" w:rsidRDefault="00003E69" w:rsidP="00277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9" w:type="dxa"/>
            <w:gridSpan w:val="3"/>
          </w:tcPr>
          <w:p w:rsidR="00003E69" w:rsidRDefault="00003E69" w:rsidP="00277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 навчання</w:t>
            </w:r>
          </w:p>
        </w:tc>
        <w:tc>
          <w:tcPr>
            <w:tcW w:w="1344" w:type="dxa"/>
          </w:tcPr>
          <w:p w:rsidR="00003E69" w:rsidRDefault="00003E69" w:rsidP="00277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Кредити ЄКТС</w:t>
            </w:r>
          </w:p>
        </w:tc>
      </w:tr>
      <w:tr w:rsidR="00380F9A" w:rsidRPr="00380F9A" w:rsidTr="008E15AA">
        <w:tc>
          <w:tcPr>
            <w:tcW w:w="1555" w:type="dxa"/>
          </w:tcPr>
          <w:p w:rsidR="00380F9A" w:rsidRDefault="00380F9A" w:rsidP="00277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9" w:type="dxa"/>
            <w:gridSpan w:val="3"/>
          </w:tcPr>
          <w:p w:rsidR="00380F9A" w:rsidRDefault="00380F9A" w:rsidP="00380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Learning outcomes  </w:t>
            </w:r>
          </w:p>
        </w:tc>
        <w:tc>
          <w:tcPr>
            <w:tcW w:w="1344" w:type="dxa"/>
          </w:tcPr>
          <w:p w:rsidR="00380F9A" w:rsidRDefault="00380F9A" w:rsidP="00277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ECTS credits</w:t>
            </w:r>
          </w:p>
        </w:tc>
      </w:tr>
      <w:tr w:rsidR="0018481B" w:rsidTr="008E15AA">
        <w:tc>
          <w:tcPr>
            <w:tcW w:w="1555" w:type="dxa"/>
          </w:tcPr>
          <w:p w:rsidR="0018481B" w:rsidRDefault="0018481B" w:rsidP="00277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Кваліфікації короткого циклу</w:t>
            </w:r>
            <w:r w:rsidR="0033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  <w:p w:rsidR="0018481B" w:rsidRDefault="0018481B" w:rsidP="00277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481B" w:rsidRDefault="0018481B" w:rsidP="00277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Short</w:t>
            </w:r>
            <w:proofErr w:type="spellEnd"/>
            <w:r w:rsidRPr="0018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qualifications</w:t>
            </w:r>
            <w:proofErr w:type="spellEnd"/>
          </w:p>
        </w:tc>
        <w:tc>
          <w:tcPr>
            <w:tcW w:w="3827" w:type="dxa"/>
          </w:tcPr>
          <w:p w:rsidR="005B7CDE" w:rsidRPr="007369A7" w:rsidRDefault="005B7CDE" w:rsidP="00E46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Qualifications that signify completion of the higher education</w:t>
            </w:r>
            <w:r w:rsidR="00E460D6"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short cycle</w:t>
            </w:r>
            <w:r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are awarded to students who:</w:t>
            </w:r>
          </w:p>
          <w:p w:rsidR="001C15D5" w:rsidRPr="007369A7" w:rsidRDefault="001C15D5" w:rsidP="00E46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5B7CDE" w:rsidRPr="007369A7" w:rsidRDefault="005B7CDE" w:rsidP="001C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have demonstrated knowledge and understanding in a field of</w:t>
            </w:r>
            <w:r w:rsidR="001C15D5"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study that builds upon general secondary education and is</w:t>
            </w:r>
            <w:r w:rsidR="001C15D5"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typically at a level supported by advanced textbooks; such</w:t>
            </w:r>
            <w:r w:rsidR="001C15D5"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knowledge provides an underpinning for a field of work or</w:t>
            </w:r>
            <w:r w:rsidR="001C15D5"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vocation, personal development, and </w:t>
            </w:r>
            <w:r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further studies to complete</w:t>
            </w:r>
            <w:r w:rsidR="001C15D5"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the first cycle;</w:t>
            </w:r>
          </w:p>
          <w:p w:rsidR="005B7CDE" w:rsidRPr="007369A7" w:rsidRDefault="005B7CDE" w:rsidP="00A16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can apply their knowledge and understanding in occupational</w:t>
            </w:r>
            <w:r w:rsidR="00A16BF4"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contexts;</w:t>
            </w:r>
          </w:p>
          <w:p w:rsidR="005B7CDE" w:rsidRDefault="005B7CDE" w:rsidP="0094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have the ability to identify and use data to formulate responses</w:t>
            </w:r>
            <w:r w:rsidR="007369A7"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to well-defined concrete</w:t>
            </w:r>
            <w:r w:rsidR="007369A7"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and abstract problems;</w:t>
            </w:r>
          </w:p>
          <w:p w:rsidR="00946343" w:rsidRPr="007369A7" w:rsidRDefault="00946343" w:rsidP="005B7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5B7CDE" w:rsidRDefault="005B7CDE" w:rsidP="00427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can communicate about their understanding, skills and activities,</w:t>
            </w:r>
            <w:r w:rsidR="0042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with peers, supervisors</w:t>
            </w:r>
            <w:r w:rsidR="0042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and clients;</w:t>
            </w:r>
          </w:p>
          <w:p w:rsidR="00427BBC" w:rsidRPr="007369A7" w:rsidRDefault="00427BBC" w:rsidP="00427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18481B" w:rsidRPr="00427BBC" w:rsidRDefault="005B7CDE" w:rsidP="00427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369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have the learning skills to undertake further studies with some</w:t>
            </w:r>
            <w:r w:rsidR="0042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7BB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autonomy.</w:t>
            </w:r>
          </w:p>
        </w:tc>
        <w:tc>
          <w:tcPr>
            <w:tcW w:w="3922" w:type="dxa"/>
            <w:gridSpan w:val="2"/>
          </w:tcPr>
          <w:p w:rsidR="0018481B" w:rsidRPr="004A18D4" w:rsidRDefault="0018481B" w:rsidP="00E46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Кваліфікації, що означають завершення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короткого циклу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вищої освіти, присуджуються студентам, які</w:t>
            </w:r>
            <w:r w:rsidRPr="004A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8481B" w:rsidRDefault="00E460D6" w:rsidP="001C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8481B" w:rsidRPr="00E46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продемонстрували знання й розуміння у </w:t>
            </w:r>
            <w:r w:rsidR="00BF7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галузі </w:t>
            </w:r>
            <w:r w:rsidR="0004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r w:rsidR="0018481B" w:rsidRPr="00E46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що ґрунтуються на </w:t>
            </w:r>
            <w:r w:rsidR="0069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їх </w:t>
            </w:r>
            <w:r w:rsidR="0018481B" w:rsidRPr="00E46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загальній середній освіті </w:t>
            </w:r>
            <w:r w:rsidR="00BF7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69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є,</w:t>
            </w:r>
            <w:r w:rsidR="0018481B" w:rsidRPr="00E46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зазвичай</w:t>
            </w:r>
            <w:r w:rsidR="0069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F7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рівні </w:t>
            </w:r>
            <w:r w:rsidR="0018481B" w:rsidRPr="00E46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поглиблени</w:t>
            </w:r>
            <w:r w:rsidR="00A1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F7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підручник</w:t>
            </w:r>
            <w:r w:rsidR="00A1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r w:rsidR="0018481B" w:rsidRPr="00E46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такі знання забезпечують </w:t>
            </w:r>
            <w:r w:rsidR="00A1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основу</w:t>
            </w:r>
            <w:bookmarkStart w:id="0" w:name="_GoBack"/>
            <w:bookmarkEnd w:id="0"/>
            <w:r w:rsidR="0018481B" w:rsidRPr="00E46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A1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сфери</w:t>
            </w:r>
            <w:r w:rsidR="0018481B" w:rsidRPr="00E46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роботи або </w:t>
            </w:r>
            <w:r w:rsidR="00A1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18481B" w:rsidRPr="00E46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професії, особистого розвитку та подальшого </w:t>
            </w:r>
            <w:r w:rsidR="0018481B" w:rsidRPr="00E46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навчання</w:t>
            </w:r>
            <w:r w:rsidR="00A1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8481B" w:rsidRPr="00E46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щоб</w:t>
            </w:r>
            <w:r w:rsidR="0018481B" w:rsidRPr="00E46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заверш</w:t>
            </w:r>
            <w:r w:rsidR="0094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</w:t>
            </w:r>
            <w:r w:rsidR="0018481B" w:rsidRPr="00E46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перш</w:t>
            </w:r>
            <w:r w:rsidR="0094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18481B" w:rsidRPr="00E46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цикл;</w:t>
            </w:r>
          </w:p>
          <w:p w:rsidR="0018481B" w:rsidRPr="00A16BF4" w:rsidRDefault="00A16BF4" w:rsidP="00A16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8481B" w:rsidRPr="00A1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можуть</w:t>
            </w:r>
            <w:r w:rsidR="00696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застосовувати знання та</w:t>
            </w:r>
            <w:r w:rsidR="0018481B" w:rsidRPr="00A1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розуміння у професійному контексті;</w:t>
            </w:r>
          </w:p>
          <w:p w:rsidR="0018481B" w:rsidRDefault="007369A7" w:rsidP="00736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8481B" w:rsidRPr="0073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мають здатність </w:t>
            </w:r>
            <w:r w:rsidR="00A17FBB" w:rsidRPr="00A17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ідентифікувати </w:t>
            </w:r>
            <w:r w:rsidR="0018481B" w:rsidRPr="0073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використовувати дані, щоб формулювати відповіді на </w:t>
            </w:r>
            <w:r w:rsidR="00A17FBB" w:rsidRPr="00A17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чітко </w:t>
            </w:r>
            <w:r w:rsidR="0018481B" w:rsidRPr="0073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визначені конкретні</w:t>
            </w:r>
            <w:r w:rsidR="00696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 w:rsidR="0018481B" w:rsidRPr="0073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абстрактні проблеми;</w:t>
            </w:r>
          </w:p>
          <w:p w:rsidR="0018481B" w:rsidRPr="00427BBC" w:rsidRDefault="00427BBC" w:rsidP="00427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8481B" w:rsidRPr="0042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можуть комунікувати щодо свого розуміння, навиків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 діяльності </w:t>
            </w:r>
            <w:r w:rsidR="0018481B" w:rsidRPr="0042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колегами, керівниками та клієнтами;</w:t>
            </w:r>
          </w:p>
          <w:p w:rsidR="0018481B" w:rsidRPr="00427BBC" w:rsidRDefault="00427BBC" w:rsidP="00427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8481B" w:rsidRPr="0042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мають навики навчання, щоб здійснювати подальше навчання із певною автономністю.</w:t>
            </w:r>
          </w:p>
        </w:tc>
        <w:tc>
          <w:tcPr>
            <w:tcW w:w="1344" w:type="dxa"/>
          </w:tcPr>
          <w:p w:rsidR="0018481B" w:rsidRDefault="00564798" w:rsidP="008E15AA">
            <w:pPr>
              <w:autoSpaceDE w:val="0"/>
              <w:autoSpaceDN w:val="0"/>
              <w:adjustRightInd w:val="0"/>
              <w:ind w:righ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Типово</w:t>
            </w:r>
            <w:proofErr w:type="spellEnd"/>
            <w:r w:rsidR="0018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включають </w:t>
            </w:r>
            <w:r w:rsidR="0018481B" w:rsidRPr="004A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90-120 </w:t>
            </w:r>
            <w:r w:rsidR="0018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кредитів ЄКТС</w:t>
            </w:r>
            <w:r w:rsidR="0033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  <w:p w:rsidR="005B7CDE" w:rsidRDefault="005B7CDE" w:rsidP="00277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7CDE" w:rsidRDefault="005B7CDE" w:rsidP="005B7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Typically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</w:t>
            </w:r>
            <w:proofErr w:type="spellEnd"/>
            <w:r w:rsidRPr="005B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90-120 ECTS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credits</w:t>
            </w:r>
            <w:proofErr w:type="spellEnd"/>
          </w:p>
        </w:tc>
      </w:tr>
      <w:tr w:rsidR="006924FF" w:rsidTr="008E15AA">
        <w:tc>
          <w:tcPr>
            <w:tcW w:w="1555" w:type="dxa"/>
          </w:tcPr>
          <w:p w:rsidR="006924FF" w:rsidRDefault="006924FF" w:rsidP="0069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Кваліфікація першого циклу</w:t>
            </w:r>
            <w:r w:rsidR="0033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  <w:p w:rsidR="006924FF" w:rsidRDefault="006924FF" w:rsidP="0069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4FF" w:rsidRPr="000C63AC" w:rsidRDefault="006924FF" w:rsidP="0069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C63A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First cycle qualification</w:t>
            </w:r>
            <w:r w:rsidRPr="000C63AC">
              <w:rPr>
                <w:rFonts w:cs="ArialMT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27" w:type="dxa"/>
          </w:tcPr>
          <w:p w:rsidR="006924FF" w:rsidRPr="006924FF" w:rsidRDefault="006924FF" w:rsidP="00692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Qualifications that signify completion of </w:t>
            </w:r>
            <w:r w:rsidRPr="00692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the first cycle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are awarded to students who:</w:t>
            </w:r>
          </w:p>
          <w:p w:rsidR="006924FF" w:rsidRDefault="006924FF" w:rsidP="00692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• have demonstrated knowledge and understanding in a field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study that builds upon their general secondary education, and 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typically at a level that, whilst supported by advanced textbooks,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includes some aspects that will be informed by knowledge of the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forefront of their field of study;</w:t>
            </w:r>
          </w:p>
          <w:p w:rsidR="008D51B4" w:rsidRPr="006924FF" w:rsidRDefault="008D51B4" w:rsidP="00692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6924FF" w:rsidRDefault="006924FF" w:rsidP="00D77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• can apply their knowledge and understanding in a manner that</w:t>
            </w:r>
            <w:r w:rsidR="008D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indicates a professional approach to their work or vocation, and</w:t>
            </w:r>
            <w:r w:rsidR="008D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have competences typically demonstrated through devising and</w:t>
            </w:r>
            <w:r w:rsidR="008D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sustaining arguments and solving problems within their field of</w:t>
            </w:r>
            <w:r w:rsidR="008D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study;</w:t>
            </w:r>
          </w:p>
          <w:p w:rsidR="008D51B4" w:rsidRPr="006924FF" w:rsidRDefault="008D51B4" w:rsidP="0069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6924FF" w:rsidRDefault="00B330E3" w:rsidP="00CC3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D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6924FF" w:rsidRPr="006924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have the ability to gather and interpret relevant data (usually</w:t>
            </w:r>
            <w:r w:rsidR="00CC3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24FF" w:rsidRPr="006924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within their field of study) to inform judgments that include</w:t>
            </w:r>
            <w:r w:rsidR="00CC3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24FF" w:rsidRPr="006924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reflection on relevant social, scientific or ethical issues;</w:t>
            </w:r>
          </w:p>
          <w:p w:rsidR="00CC3413" w:rsidRDefault="00CC3413" w:rsidP="00CC3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CC3413" w:rsidRDefault="00CC3413" w:rsidP="00CC3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6924FF" w:rsidRPr="006924FF" w:rsidRDefault="006924FF" w:rsidP="00785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• can communicate information, ideas, problems and solutions to</w:t>
            </w:r>
            <w:r w:rsidR="00785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both 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specialist and non-specialist audiences;</w:t>
            </w:r>
          </w:p>
          <w:p w:rsidR="006924FF" w:rsidRPr="006924FF" w:rsidRDefault="006924FF" w:rsidP="00B33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• have developed those learning skills that are necessary for them</w:t>
            </w:r>
            <w:r w:rsidR="00B33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to continue to undertake further study with a high degree of</w:t>
            </w:r>
            <w:r w:rsidR="00B33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autonomy.</w:t>
            </w:r>
          </w:p>
        </w:tc>
        <w:tc>
          <w:tcPr>
            <w:tcW w:w="3922" w:type="dxa"/>
            <w:gridSpan w:val="2"/>
          </w:tcPr>
          <w:p w:rsidR="006924FF" w:rsidRDefault="006924FF" w:rsidP="00692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Кваліфікації, що означають завершення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першого циклу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присуджуються студентам, які</w:t>
            </w:r>
            <w:r w:rsidRPr="004A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924FF" w:rsidRPr="006924FF" w:rsidRDefault="006924FF" w:rsidP="00692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продемонстрували знання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розуміння у галузі </w:t>
            </w:r>
            <w:r w:rsidR="006B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освіти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що ґрунтуються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їх 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загальній середній освіті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є,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зазвичай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рівні, </w:t>
            </w:r>
            <w:r w:rsidR="006B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хоча й ґрунтується на поглиблених підручниках, включає певні аспекти, які будуть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овані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провідн</w:t>
            </w:r>
            <w:r w:rsidR="006B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їх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галузі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r w:rsidRPr="0069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24FF" w:rsidRDefault="008D51B4" w:rsidP="008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6924FF" w:rsidRPr="008D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</w:t>
            </w:r>
            <w:r w:rsidR="00D7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уть застосовувати свої знання та</w:t>
            </w:r>
            <w:r w:rsidR="006924FF" w:rsidRPr="008D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розуміння таким чином, що вказує на професійний п</w:t>
            </w:r>
            <w:r w:rsidR="00D7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ідхід до роботи або професії, і,</w:t>
            </w:r>
            <w:r w:rsidR="002A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24FF" w:rsidRPr="008D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зазвичай</w:t>
            </w:r>
            <w:r w:rsidR="002A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924FF" w:rsidRPr="008D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демонструють компетентності, висуваючи </w:t>
            </w:r>
            <w:r w:rsidR="00CC3413" w:rsidRPr="00CC3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924FF" w:rsidRPr="008D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підтримуючи аргументи</w:t>
            </w:r>
            <w:r w:rsidR="00CC3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 w:rsidR="006924FF" w:rsidRPr="008D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розв’язуючи проблеми у своїй галузі </w:t>
            </w:r>
            <w:r w:rsidR="0004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r w:rsidR="006924FF" w:rsidRPr="008D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6924FF" w:rsidRPr="00CC3413" w:rsidRDefault="00CC3413" w:rsidP="00CC3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6924FF" w:rsidRPr="00CC3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мають здатність збирати та </w:t>
            </w:r>
            <w:r w:rsidR="00FD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інтерпретувати</w:t>
            </w:r>
            <w:r w:rsidR="006924FF" w:rsidRPr="00CC3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релевантні дані (зазвичай у своїй галузі підготовки), щоб </w:t>
            </w:r>
            <w:r w:rsidR="00457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повідомляти/доносити </w:t>
            </w:r>
            <w:r w:rsidR="006924FF" w:rsidRPr="00CC3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судження, що </w:t>
            </w:r>
            <w:r w:rsidR="00457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містять міркування</w:t>
            </w:r>
            <w:r w:rsidR="006924FF" w:rsidRPr="00CC3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r w:rsidR="006924FF" w:rsidRPr="00CC3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відповідни</w:t>
            </w:r>
            <w:r w:rsidR="00FD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457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соціальних, наукових</w:t>
            </w:r>
            <w:r w:rsidR="006924FF" w:rsidRPr="00CC3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або етични</w:t>
            </w:r>
            <w:r w:rsidR="00457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924FF" w:rsidRPr="00CC3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проблемних </w:t>
            </w:r>
            <w:r w:rsidR="006924FF" w:rsidRPr="00CC3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</w:t>
            </w:r>
            <w:r w:rsidR="00457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6924FF" w:rsidRPr="00CC3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24FF" w:rsidRDefault="00785863" w:rsidP="00785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6924FF" w:rsidRPr="00785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можуть </w:t>
            </w:r>
            <w:r w:rsidR="0058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повідомляти</w:t>
            </w:r>
            <w:r w:rsidR="0058697A" w:rsidRPr="0058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24FF" w:rsidRPr="00785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інформацію, ідеї, проблеми та рішення як фаховим, так і нефаховим аудиторіям;</w:t>
            </w:r>
          </w:p>
          <w:p w:rsidR="00C07E56" w:rsidRPr="00B330E3" w:rsidRDefault="00B330E3" w:rsidP="001F2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 w:rsidR="006924FF" w:rsidRPr="00B33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розвинули</w:t>
            </w:r>
            <w:r w:rsidR="00C07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ті</w:t>
            </w:r>
            <w:r w:rsidR="006924FF" w:rsidRPr="00B33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нави</w:t>
            </w:r>
            <w:r w:rsidR="00C07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6924FF" w:rsidRPr="00B33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навчання, </w:t>
            </w:r>
            <w:r w:rsidR="00C07E56" w:rsidRPr="00C07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 необхідні для продовження подальшо</w:t>
            </w:r>
            <w:r w:rsidR="00C07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 підготовки з високим ступенем автономії</w:t>
            </w:r>
            <w:r w:rsidR="00C07E56" w:rsidRPr="00C07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</w:tcPr>
          <w:p w:rsidR="006924FF" w:rsidRDefault="00564798" w:rsidP="008E15AA">
            <w:pPr>
              <w:autoSpaceDE w:val="0"/>
              <w:autoSpaceDN w:val="0"/>
              <w:adjustRightInd w:val="0"/>
              <w:ind w:righ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Типово</w:t>
            </w:r>
            <w:proofErr w:type="spellEnd"/>
            <w:r w:rsidR="0069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включають 18</w:t>
            </w:r>
            <w:r w:rsidR="006924FF" w:rsidRPr="004A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69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924FF" w:rsidRPr="004A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69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кредитів ЄКТС</w:t>
            </w:r>
            <w:r w:rsidR="0033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  <w:p w:rsidR="006924FF" w:rsidRDefault="006924FF" w:rsidP="0069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4FF" w:rsidRDefault="006924FF" w:rsidP="0069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Typically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</w:t>
            </w:r>
            <w:proofErr w:type="spellEnd"/>
            <w:r w:rsidRPr="0039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180-240 ECTS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credits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1D01" w:rsidTr="008E15AA">
        <w:tc>
          <w:tcPr>
            <w:tcW w:w="1555" w:type="dxa"/>
          </w:tcPr>
          <w:p w:rsidR="00231D01" w:rsidRDefault="00231D01" w:rsidP="0069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Кваліфікація другого циклу /</w:t>
            </w:r>
          </w:p>
          <w:p w:rsidR="00231D01" w:rsidRDefault="00231D01" w:rsidP="0069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D01" w:rsidRDefault="00231D01" w:rsidP="00A82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79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Second cycle</w:t>
            </w:r>
            <w:r w:rsidR="00A82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79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qualification</w:t>
            </w:r>
          </w:p>
        </w:tc>
        <w:tc>
          <w:tcPr>
            <w:tcW w:w="3827" w:type="dxa"/>
          </w:tcPr>
          <w:p w:rsidR="00231D01" w:rsidRPr="00D72E14" w:rsidRDefault="00231D01" w:rsidP="00231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Qualifications that signify completion of </w:t>
            </w:r>
            <w:r w:rsidRPr="00D72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the second cycle </w:t>
            </w: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are awarded to students who:</w:t>
            </w:r>
          </w:p>
          <w:p w:rsidR="00231D01" w:rsidRDefault="00231D01" w:rsidP="00D72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• have demonstrated knowledge and understanding that is</w:t>
            </w:r>
            <w:r w:rsid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founded upon and extends and/or enhances that typically</w:t>
            </w:r>
            <w:r w:rsid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associated with the first cycle, and that provides a basis or</w:t>
            </w:r>
            <w:r w:rsid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opportunity for originality in developing and/or applying ideas,</w:t>
            </w:r>
            <w:r w:rsid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often within a research context;</w:t>
            </w:r>
          </w:p>
          <w:p w:rsidR="00D72E14" w:rsidRPr="00D72E14" w:rsidRDefault="00D72E14" w:rsidP="00D72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231D01" w:rsidRDefault="00231D01" w:rsidP="003C7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• can apply their knowledge and understanding, and problem</w:t>
            </w:r>
            <w:r w:rsidR="00764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solving abilities in new or unfamiliar environments within broader</w:t>
            </w:r>
            <w:r w:rsidR="00764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(or multidisciplinary) contexts related to their field of study;</w:t>
            </w:r>
          </w:p>
          <w:p w:rsidR="007642BA" w:rsidRDefault="007642BA" w:rsidP="00231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231D01" w:rsidRPr="00D72E14" w:rsidRDefault="00231D01" w:rsidP="00664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• have the ability to integrate knowledge and handle complexity,</w:t>
            </w:r>
            <w:r w:rsidR="0089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and formulate judgments with incomplete or limited information,</w:t>
            </w:r>
            <w:r w:rsidR="0089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but that include reflecting on social and ethical responsibilities</w:t>
            </w:r>
            <w:r w:rsidR="0089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linked to the application of their knowledge and judgments;</w:t>
            </w:r>
          </w:p>
          <w:p w:rsidR="00231D01" w:rsidRPr="00D72E14" w:rsidRDefault="00231D01" w:rsidP="00664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• can communicate their conclusions, and the knowledge and</w:t>
            </w:r>
            <w:r w:rsidR="0066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rationale underpinning these, to specialist and non-specialist</w:t>
            </w:r>
            <w:r w:rsidR="0066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audiences clearly and unambiguously;</w:t>
            </w:r>
          </w:p>
          <w:p w:rsidR="00231D01" w:rsidRPr="00D72E14" w:rsidRDefault="00231D01" w:rsidP="00BA7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• have the learning skills to allow them to continue to study in a</w:t>
            </w:r>
            <w:r w:rsidR="00BA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manner that may be largely self-directed or autonomous.</w:t>
            </w:r>
          </w:p>
        </w:tc>
        <w:tc>
          <w:tcPr>
            <w:tcW w:w="3922" w:type="dxa"/>
            <w:gridSpan w:val="2"/>
          </w:tcPr>
          <w:p w:rsidR="00231D01" w:rsidRDefault="00231D01" w:rsidP="00231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Кваліфікації, що означають завершення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другого циклу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присуджуються студентам, які</w:t>
            </w:r>
            <w:r w:rsidRPr="004A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31D01" w:rsidRDefault="00D72E14" w:rsidP="00D72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4B2257" w:rsidRPr="004B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продемонстрували </w:t>
            </w:r>
            <w:r w:rsidR="00231D01"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знання й розуміння, </w:t>
            </w:r>
            <w:r w:rsidR="004B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r w:rsidR="00231D01"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ґрунтуються на знання</w:t>
            </w:r>
            <w:r w:rsidR="004B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231D01"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B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r w:rsidR="00231D01"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зазвичай </w:t>
            </w:r>
            <w:r w:rsidR="004B2257" w:rsidRPr="004B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пов'язані </w:t>
            </w:r>
            <w:r w:rsidR="00231D01"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першим циклом, </w:t>
            </w:r>
            <w:r w:rsidR="004B2257"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перевершують та/або поглиблюють </w:t>
            </w:r>
            <w:r w:rsidR="004B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їх, а також які </w:t>
            </w:r>
            <w:r w:rsidR="00231D01"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забезпечують основу або можливість </w:t>
            </w:r>
            <w:r w:rsidR="004B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231D01"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оригінальності </w:t>
            </w:r>
            <w:r w:rsidR="004B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31D01"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розвитку та/або застосуванні ідей, часто </w:t>
            </w:r>
            <w:r w:rsidR="004B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31D01"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контексті</w:t>
            </w:r>
            <w:r w:rsidR="004B2257"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дослід</w:t>
            </w:r>
            <w:r w:rsidR="004B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ження</w:t>
            </w:r>
            <w:r w:rsidR="00231D01"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31D01" w:rsidRPr="00031F69" w:rsidRDefault="00031F69" w:rsidP="003C727B">
            <w:pPr>
              <w:autoSpaceDE w:val="0"/>
              <w:autoSpaceDN w:val="0"/>
              <w:adjustRightInd w:val="0"/>
              <w:ind w:right="-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231D01" w:rsidRPr="00031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можуть застосовувати свої знання й розуміння</w:t>
            </w:r>
            <w:r w:rsidR="00D32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також</w:t>
            </w:r>
            <w:r w:rsidR="00231D01" w:rsidRPr="00031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здатності до вирішення проблем</w:t>
            </w:r>
            <w:r w:rsidR="003C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1D01" w:rsidRPr="00031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новому або незвичному середовищі у більш широкому (або мультидисциплінарному) контексті, пов’язаному з їх </w:t>
            </w:r>
            <w:r w:rsidR="003C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галуззю</w:t>
            </w:r>
            <w:r w:rsidR="00231D01" w:rsidRPr="00031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підготовки;</w:t>
            </w:r>
          </w:p>
          <w:p w:rsidR="00231D01" w:rsidRDefault="008913EA" w:rsidP="00891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231D01" w:rsidRPr="0089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мають здатність інтегрувати знання та вирішувати комплексні питання, а також формулювати судження за неповної або обмеженої інформації, але які включають </w:t>
            </w:r>
            <w:r w:rsidR="0066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рефлексію на</w:t>
            </w:r>
            <w:r w:rsidR="00231D01" w:rsidRPr="0089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соціальн</w:t>
            </w:r>
            <w:r w:rsidR="0066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231D01" w:rsidRPr="0089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етичн</w:t>
            </w:r>
            <w:r w:rsidR="0066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231D01" w:rsidRPr="0089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обов’язки, пов’язан</w:t>
            </w:r>
            <w:r w:rsidR="0066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і</w:t>
            </w:r>
            <w:r w:rsidR="00231D01" w:rsidRPr="0089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застосуванням їх знань і суджень;</w:t>
            </w:r>
          </w:p>
          <w:p w:rsidR="00231D01" w:rsidRDefault="00664908" w:rsidP="00664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231D01" w:rsidRPr="0066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можуть </w:t>
            </w:r>
            <w:r w:rsidR="00BA7390" w:rsidRPr="0066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чітко й однозначно</w:t>
            </w:r>
            <w:r w:rsidR="00BA7390" w:rsidRPr="00BA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повідомляти </w:t>
            </w:r>
            <w:r w:rsidR="00231D01" w:rsidRPr="0066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свої висновки, а також знання й міркування, на яких </w:t>
            </w:r>
            <w:r w:rsidR="00BA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 висновки</w:t>
            </w:r>
            <w:r w:rsidR="00231D01" w:rsidRPr="0066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ґрунтуються, фаховій </w:t>
            </w:r>
            <w:r w:rsidR="00BA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231D01" w:rsidRPr="0066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нефаховій аудиторії;</w:t>
            </w:r>
          </w:p>
          <w:p w:rsidR="00231D01" w:rsidRPr="004A18D4" w:rsidRDefault="00BA7390" w:rsidP="00A02C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231D01" w:rsidRPr="00BA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мають навики навчання, що дозволяють їм </w:t>
            </w:r>
            <w:r w:rsidR="00A02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продовжити підготовку у спосіб</w:t>
            </w:r>
            <w:r w:rsidR="00231D01" w:rsidRPr="00BA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що може бути значною мірою </w:t>
            </w:r>
            <w:proofErr w:type="spellStart"/>
            <w:r w:rsidR="00231D01" w:rsidRPr="00BA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="00A02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31D01" w:rsidRPr="00BA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керованим</w:t>
            </w:r>
            <w:proofErr w:type="spellEnd"/>
            <w:r w:rsidR="00231D01" w:rsidRPr="00BA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або автономним.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231D01" w:rsidRDefault="00231D01" w:rsidP="008E15AA">
            <w:pPr>
              <w:autoSpaceDE w:val="0"/>
              <w:autoSpaceDN w:val="0"/>
              <w:adjustRightInd w:val="0"/>
              <w:ind w:righ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включають </w:t>
            </w:r>
            <w:r w:rsidRPr="004A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90-120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кредитів ЄКТС</w:t>
            </w:r>
            <w:r w:rsidRPr="004A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причому мінімум </w:t>
            </w:r>
            <w:r w:rsidRPr="004A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кредитів на рівні 2-го циклу /</w:t>
            </w:r>
          </w:p>
          <w:p w:rsidR="00231D01" w:rsidRDefault="00231D01" w:rsidP="0069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D01" w:rsidRPr="00564798" w:rsidRDefault="00231D01" w:rsidP="0056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6479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Typically include 90-120 ECTS credits, with a minimum of 60 credits at the level of the 2nd cycle</w:t>
            </w:r>
          </w:p>
        </w:tc>
      </w:tr>
      <w:tr w:rsidR="00A82DA0" w:rsidTr="006F32CE">
        <w:tc>
          <w:tcPr>
            <w:tcW w:w="1555" w:type="dxa"/>
          </w:tcPr>
          <w:p w:rsidR="00A82DA0" w:rsidRDefault="00A82DA0" w:rsidP="0069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Кваліфікація третього циклу /</w:t>
            </w:r>
          </w:p>
          <w:p w:rsidR="00A82DA0" w:rsidRDefault="00A82DA0" w:rsidP="0069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DA0" w:rsidRPr="00A82DA0" w:rsidRDefault="00A82DA0" w:rsidP="00A82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82DA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Third cycle qualification</w:t>
            </w:r>
          </w:p>
        </w:tc>
        <w:tc>
          <w:tcPr>
            <w:tcW w:w="3874" w:type="dxa"/>
            <w:gridSpan w:val="2"/>
          </w:tcPr>
          <w:p w:rsidR="00A82DA0" w:rsidRPr="00EC558E" w:rsidRDefault="00A82DA0" w:rsidP="00EC5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55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Qualifications that signify completion of </w:t>
            </w:r>
            <w:r w:rsidRPr="00EC5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the third cycle</w:t>
            </w:r>
            <w:r w:rsidRPr="00EC55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are</w:t>
            </w:r>
            <w:r w:rsidR="00EC5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5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awarded to students who:</w:t>
            </w:r>
          </w:p>
          <w:p w:rsidR="00A82DA0" w:rsidRDefault="00A82DA0" w:rsidP="00EC5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55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• have demonstrated a systematic understanding of a field of</w:t>
            </w:r>
            <w:r w:rsidR="00F4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5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study and </w:t>
            </w:r>
            <w:r w:rsidRPr="00EC55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mastery of the skills and methods of research</w:t>
            </w:r>
            <w:r w:rsidR="00F4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5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associated with that field;</w:t>
            </w:r>
          </w:p>
          <w:p w:rsidR="00F4465E" w:rsidRPr="00EC558E" w:rsidRDefault="00F4465E" w:rsidP="00EC5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A82DA0" w:rsidRPr="00EC558E" w:rsidRDefault="00A82DA0" w:rsidP="00EC5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55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• have demonstrated the ability to conceive, design, implement</w:t>
            </w:r>
            <w:r w:rsidR="0087011A" w:rsidRPr="008701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C55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and adapt a substantial process of research with scholarly</w:t>
            </w:r>
            <w:r w:rsidR="0087011A" w:rsidRPr="008701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C55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integrity;</w:t>
            </w:r>
          </w:p>
          <w:p w:rsidR="00A82DA0" w:rsidRDefault="00A82DA0" w:rsidP="00EC5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55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• have made a contribution through original research that extends</w:t>
            </w:r>
            <w:r w:rsidR="000C7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5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the frontier of knowledge by developing a substantial body of</w:t>
            </w:r>
            <w:r w:rsidR="000C7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5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work, some of which merits national or international refereed</w:t>
            </w:r>
            <w:r w:rsidR="000C7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5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publication;</w:t>
            </w:r>
          </w:p>
          <w:p w:rsidR="000010BD" w:rsidRPr="00EC558E" w:rsidRDefault="000010BD" w:rsidP="00EC5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A82DA0" w:rsidRPr="00EC558E" w:rsidRDefault="00A82DA0" w:rsidP="00EC5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55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• are capable of critical analysis, evaluation and synthesis of new</w:t>
            </w:r>
            <w:r w:rsidR="006F7AC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EC55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and complex ideas;</w:t>
            </w:r>
          </w:p>
          <w:p w:rsidR="00A82DA0" w:rsidRPr="00EC558E" w:rsidRDefault="00A82DA0" w:rsidP="00EC5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55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• can communicate with their peers, the larger scholarly</w:t>
            </w:r>
            <w:r w:rsidR="006D5F3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EC55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community and with society in general about their areas of</w:t>
            </w:r>
            <w:r w:rsidR="006D5F3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EC55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expertise;</w:t>
            </w:r>
          </w:p>
          <w:p w:rsidR="00A82DA0" w:rsidRPr="00EC558E" w:rsidRDefault="00A82DA0" w:rsidP="006D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55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• can be expected to be able to promote, within academic and</w:t>
            </w:r>
            <w:r w:rsidR="006D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5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professional contexts, technological, social or cultural</w:t>
            </w:r>
            <w:r w:rsidR="006D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5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advancement in a knowledge based society.</w:t>
            </w:r>
          </w:p>
        </w:tc>
        <w:tc>
          <w:tcPr>
            <w:tcW w:w="3875" w:type="dxa"/>
          </w:tcPr>
          <w:p w:rsidR="00A82DA0" w:rsidRDefault="00A82DA0" w:rsidP="00EC5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Кваліфікації, що означають завершення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третього циклу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присуджуються студентам, які</w:t>
            </w:r>
            <w:r w:rsidRPr="004A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82DA0" w:rsidRPr="00F4465E" w:rsidRDefault="00F4465E" w:rsidP="00F4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16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продемонстрували систем</w:t>
            </w:r>
            <w:r w:rsidR="00A82DA0" w:rsidRPr="00F4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="0016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r w:rsidR="00A82DA0" w:rsidRPr="00F4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галузі </w:t>
            </w:r>
            <w:r w:rsidR="0016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r w:rsidR="00A82DA0" w:rsidRPr="00F4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 w:rsidR="00B3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володіння </w:t>
            </w:r>
            <w:r w:rsidR="00A82DA0" w:rsidRPr="00F4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нави</w:t>
            </w:r>
            <w:r w:rsidR="0016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82DA0" w:rsidRPr="00F4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B3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A82DA0" w:rsidRPr="00F4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A82DA0" w:rsidRPr="00F4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метода</w:t>
            </w:r>
            <w:r w:rsidR="00B3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A82DA0" w:rsidRPr="00F4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2DA0" w:rsidRPr="00F4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досліджен</w:t>
            </w:r>
            <w:r w:rsidR="00235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="00A82DA0" w:rsidRPr="00F4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пов’язани</w:t>
            </w:r>
            <w:r w:rsidR="00B3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="00A82DA0" w:rsidRPr="00F4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цією галуззю;</w:t>
            </w:r>
          </w:p>
          <w:p w:rsidR="00A82DA0" w:rsidRPr="0087011A" w:rsidRDefault="0087011A" w:rsidP="0087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A82DA0" w:rsidRPr="0087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продемонстрували здатність за</w:t>
            </w:r>
            <w:r w:rsidR="00E203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початк</w:t>
            </w:r>
            <w:r w:rsidR="00BC3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="00E203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увати</w:t>
            </w:r>
            <w:r w:rsidR="00A82DA0" w:rsidRPr="0087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розробляти, </w:t>
            </w:r>
            <w:r w:rsidR="00B26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запроваджувати</w:t>
            </w:r>
            <w:r w:rsidR="00A82DA0" w:rsidRPr="0087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адаптувати </w:t>
            </w:r>
            <w:r w:rsidR="00184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грунтовний</w:t>
            </w:r>
            <w:r w:rsidR="00A82DA0" w:rsidRPr="0087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 досліджень із науковою чесністю;</w:t>
            </w:r>
          </w:p>
          <w:p w:rsidR="00AE69E2" w:rsidRDefault="00DD734C" w:rsidP="00DD7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A82DA0" w:rsidRPr="00DD7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зробили внесок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шляхом оригінальн</w:t>
            </w:r>
            <w:r w:rsidR="000C7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досліджен</w:t>
            </w:r>
            <w:r w:rsidR="000C7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C7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2DA0" w:rsidRPr="00DD7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що </w:t>
            </w:r>
            <w:r w:rsidR="000C7CA7" w:rsidRPr="000C7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розширює межі знань</w:t>
            </w:r>
            <w:r w:rsidR="00A82DA0" w:rsidRPr="00DD7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виконавши значний обсяг роботи, частина якої заслуговує на публікацію в національних або міжнародних рецензованих виданнях;</w:t>
            </w:r>
            <w:r w:rsidR="00AE69E2" w:rsidRPr="00DD7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2DA0" w:rsidRPr="00901B75" w:rsidRDefault="006F7ACA" w:rsidP="006F7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A82DA0" w:rsidRPr="00901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 критично аналізувати, оцінювати та синтезувати нові й складні ідеї;</w:t>
            </w:r>
          </w:p>
          <w:p w:rsidR="00A82DA0" w:rsidRPr="006D5F31" w:rsidRDefault="006D5F31" w:rsidP="006D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A82DA0" w:rsidRPr="006D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можуть комунікувати з колегами, ширшою науковою спільнотою та суспільством у цілому щодо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своєї експертної сфери</w:t>
            </w:r>
            <w:r w:rsidR="00A82DA0" w:rsidRPr="006D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2DA0" w:rsidRPr="006D5F31" w:rsidRDefault="006D5F31" w:rsidP="008C3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A82DA0" w:rsidRPr="006D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очікується, здатні сприяти, в академі</w:t>
            </w:r>
            <w:r w:rsidR="008C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чному та професійному контекстах</w:t>
            </w:r>
            <w:r w:rsidR="00A82DA0" w:rsidRPr="006D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технологічному, соціальному або культурному </w:t>
            </w:r>
            <w:r w:rsidR="008C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прогресу в </w:t>
            </w:r>
            <w:r w:rsidR="00A82DA0" w:rsidRPr="006D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суспільстві, заснованому на знаннях.</w:t>
            </w:r>
          </w:p>
        </w:tc>
        <w:tc>
          <w:tcPr>
            <w:tcW w:w="1344" w:type="dxa"/>
          </w:tcPr>
          <w:p w:rsidR="00A82DA0" w:rsidRDefault="00A82DA0" w:rsidP="006924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визначено / </w:t>
            </w:r>
          </w:p>
          <w:p w:rsidR="00A82DA0" w:rsidRPr="00266439" w:rsidRDefault="00A82DA0" w:rsidP="0069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  <w:r w:rsidRPr="00A82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specified</w:t>
            </w:r>
            <w:proofErr w:type="spellEnd"/>
          </w:p>
        </w:tc>
      </w:tr>
    </w:tbl>
    <w:p w:rsidR="00003E69" w:rsidRPr="004A18D4" w:rsidRDefault="00003E69" w:rsidP="00003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03E69" w:rsidRPr="004A18D4" w:rsidSect="00AE0C89">
      <w:headerReference w:type="default" r:id="rId7"/>
      <w:footerReference w:type="default" r:id="rId8"/>
      <w:pgSz w:w="11906" w:h="16838"/>
      <w:pgMar w:top="851" w:right="567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8D" w:rsidRDefault="00C4158D" w:rsidP="00AE0C89">
      <w:pPr>
        <w:spacing w:after="0" w:line="240" w:lineRule="auto"/>
      </w:pPr>
      <w:r>
        <w:separator/>
      </w:r>
    </w:p>
  </w:endnote>
  <w:endnote w:type="continuationSeparator" w:id="0">
    <w:p w:rsidR="00C4158D" w:rsidRDefault="00C4158D" w:rsidP="00AE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CF" w:rsidRDefault="00C041CF" w:rsidP="00C041CF">
    <w:pPr>
      <w:pStyle w:val="a6"/>
      <w:jc w:val="center"/>
    </w:pPr>
    <w:r>
      <w:t>Переклад виконано в рамках проекту ЄС «Національний Еразмус+ офіс в Україні»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8D" w:rsidRDefault="00C4158D" w:rsidP="00AE0C89">
      <w:pPr>
        <w:spacing w:after="0" w:line="240" w:lineRule="auto"/>
      </w:pPr>
      <w:r>
        <w:separator/>
      </w:r>
    </w:p>
  </w:footnote>
  <w:footnote w:type="continuationSeparator" w:id="0">
    <w:p w:rsidR="00C4158D" w:rsidRDefault="00C4158D" w:rsidP="00AE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89" w:rsidRDefault="00AE0C89">
    <w:pPr>
      <w:pStyle w:val="a4"/>
    </w:pPr>
    <w:r w:rsidRPr="00AE0C89">
      <w:rPr>
        <w:rFonts w:ascii="Times New Roman" w:hAnsi="Times New Roman" w:cs="Times New Roman"/>
        <w:b/>
        <w:bCs/>
        <w:noProof/>
        <w:sz w:val="24"/>
        <w:szCs w:val="24"/>
        <w:lang w:val="ru-RU" w:eastAsia="ru-RU"/>
      </w:rPr>
      <w:drawing>
        <wp:inline distT="0" distB="0" distL="0" distR="0" wp14:anchorId="6D92C45B" wp14:editId="3283D444">
          <wp:extent cx="6152739" cy="114300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4580" cy="1143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6439"/>
    <w:multiLevelType w:val="hybridMultilevel"/>
    <w:tmpl w:val="953E07E8"/>
    <w:lvl w:ilvl="0" w:tplc="66FE90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0E8D"/>
    <w:multiLevelType w:val="hybridMultilevel"/>
    <w:tmpl w:val="BB402ED6"/>
    <w:lvl w:ilvl="0" w:tplc="826CEE8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B1F8C"/>
    <w:multiLevelType w:val="hybridMultilevel"/>
    <w:tmpl w:val="CF9084A6"/>
    <w:lvl w:ilvl="0" w:tplc="826CEE8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65367"/>
    <w:multiLevelType w:val="hybridMultilevel"/>
    <w:tmpl w:val="BC522B88"/>
    <w:lvl w:ilvl="0" w:tplc="826CEE8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CE2C9A"/>
    <w:multiLevelType w:val="hybridMultilevel"/>
    <w:tmpl w:val="75360C70"/>
    <w:lvl w:ilvl="0" w:tplc="826CEE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B73"/>
    <w:multiLevelType w:val="hybridMultilevel"/>
    <w:tmpl w:val="E0DAC1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B3975"/>
    <w:multiLevelType w:val="hybridMultilevel"/>
    <w:tmpl w:val="DB666DF4"/>
    <w:lvl w:ilvl="0" w:tplc="66FE90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A4745"/>
    <w:multiLevelType w:val="hybridMultilevel"/>
    <w:tmpl w:val="0A62C5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B6705E"/>
    <w:multiLevelType w:val="hybridMultilevel"/>
    <w:tmpl w:val="22E4F64A"/>
    <w:lvl w:ilvl="0" w:tplc="826CEE8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75"/>
    <w:rsid w:val="000010BD"/>
    <w:rsid w:val="00003E69"/>
    <w:rsid w:val="00006002"/>
    <w:rsid w:val="0001532E"/>
    <w:rsid w:val="000206DF"/>
    <w:rsid w:val="00031F69"/>
    <w:rsid w:val="000444D1"/>
    <w:rsid w:val="00046AC2"/>
    <w:rsid w:val="00061C61"/>
    <w:rsid w:val="00095097"/>
    <w:rsid w:val="000C63AC"/>
    <w:rsid w:val="000C6BF0"/>
    <w:rsid w:val="000C7CA7"/>
    <w:rsid w:val="000F4C30"/>
    <w:rsid w:val="0011315E"/>
    <w:rsid w:val="001512EF"/>
    <w:rsid w:val="00161B27"/>
    <w:rsid w:val="0018243F"/>
    <w:rsid w:val="0018481B"/>
    <w:rsid w:val="00184E46"/>
    <w:rsid w:val="001C15D5"/>
    <w:rsid w:val="001C48D2"/>
    <w:rsid w:val="001D3F6B"/>
    <w:rsid w:val="001E323E"/>
    <w:rsid w:val="001F2506"/>
    <w:rsid w:val="00202E81"/>
    <w:rsid w:val="00205BDA"/>
    <w:rsid w:val="00231D01"/>
    <w:rsid w:val="002351AB"/>
    <w:rsid w:val="00235321"/>
    <w:rsid w:val="00242C0A"/>
    <w:rsid w:val="00251F0A"/>
    <w:rsid w:val="00260BE6"/>
    <w:rsid w:val="00261DB3"/>
    <w:rsid w:val="00273761"/>
    <w:rsid w:val="002A41CD"/>
    <w:rsid w:val="002A556C"/>
    <w:rsid w:val="002B6FFA"/>
    <w:rsid w:val="002C07A5"/>
    <w:rsid w:val="002E0F44"/>
    <w:rsid w:val="002E73F3"/>
    <w:rsid w:val="002F6675"/>
    <w:rsid w:val="00300342"/>
    <w:rsid w:val="00300854"/>
    <w:rsid w:val="00333E0C"/>
    <w:rsid w:val="00334802"/>
    <w:rsid w:val="00380F9A"/>
    <w:rsid w:val="003831D6"/>
    <w:rsid w:val="0039069E"/>
    <w:rsid w:val="003B6D84"/>
    <w:rsid w:val="003C727B"/>
    <w:rsid w:val="003F1B11"/>
    <w:rsid w:val="003F3592"/>
    <w:rsid w:val="004052BB"/>
    <w:rsid w:val="00427BBC"/>
    <w:rsid w:val="00457AD9"/>
    <w:rsid w:val="0046299A"/>
    <w:rsid w:val="00466442"/>
    <w:rsid w:val="00466B9A"/>
    <w:rsid w:val="004719EA"/>
    <w:rsid w:val="00492933"/>
    <w:rsid w:val="004B2257"/>
    <w:rsid w:val="004D54B1"/>
    <w:rsid w:val="004D6920"/>
    <w:rsid w:val="004F789E"/>
    <w:rsid w:val="005170B1"/>
    <w:rsid w:val="00520B0F"/>
    <w:rsid w:val="0052153F"/>
    <w:rsid w:val="00525452"/>
    <w:rsid w:val="0053609C"/>
    <w:rsid w:val="00537D2D"/>
    <w:rsid w:val="00545E6B"/>
    <w:rsid w:val="00564798"/>
    <w:rsid w:val="00567E46"/>
    <w:rsid w:val="005767CB"/>
    <w:rsid w:val="00586136"/>
    <w:rsid w:val="0058697A"/>
    <w:rsid w:val="005A04A2"/>
    <w:rsid w:val="005A55AE"/>
    <w:rsid w:val="005B7CDE"/>
    <w:rsid w:val="005D25EE"/>
    <w:rsid w:val="005D5C57"/>
    <w:rsid w:val="005E426D"/>
    <w:rsid w:val="0064352A"/>
    <w:rsid w:val="006556BB"/>
    <w:rsid w:val="00661FE7"/>
    <w:rsid w:val="0066367E"/>
    <w:rsid w:val="0066398C"/>
    <w:rsid w:val="00664908"/>
    <w:rsid w:val="006676B4"/>
    <w:rsid w:val="00681C70"/>
    <w:rsid w:val="00682B26"/>
    <w:rsid w:val="006924FF"/>
    <w:rsid w:val="00696BBC"/>
    <w:rsid w:val="006A0F2C"/>
    <w:rsid w:val="006B41FE"/>
    <w:rsid w:val="006D5F31"/>
    <w:rsid w:val="006F7ACA"/>
    <w:rsid w:val="007030D4"/>
    <w:rsid w:val="007147DA"/>
    <w:rsid w:val="007369A7"/>
    <w:rsid w:val="00742AB6"/>
    <w:rsid w:val="00742C03"/>
    <w:rsid w:val="00742D0A"/>
    <w:rsid w:val="007642BA"/>
    <w:rsid w:val="007766D3"/>
    <w:rsid w:val="00785863"/>
    <w:rsid w:val="007A1F8C"/>
    <w:rsid w:val="007A359D"/>
    <w:rsid w:val="007A549F"/>
    <w:rsid w:val="007D384B"/>
    <w:rsid w:val="007E115C"/>
    <w:rsid w:val="007E18C6"/>
    <w:rsid w:val="008064D6"/>
    <w:rsid w:val="0082143E"/>
    <w:rsid w:val="008214BF"/>
    <w:rsid w:val="008274C4"/>
    <w:rsid w:val="00836270"/>
    <w:rsid w:val="0087011A"/>
    <w:rsid w:val="00872C9C"/>
    <w:rsid w:val="008913EA"/>
    <w:rsid w:val="00896A18"/>
    <w:rsid w:val="008A6B94"/>
    <w:rsid w:val="008B093C"/>
    <w:rsid w:val="008C3E50"/>
    <w:rsid w:val="008D076C"/>
    <w:rsid w:val="008D51B4"/>
    <w:rsid w:val="008D5E67"/>
    <w:rsid w:val="008E15AA"/>
    <w:rsid w:val="008F26BC"/>
    <w:rsid w:val="00900E9A"/>
    <w:rsid w:val="00901B75"/>
    <w:rsid w:val="0091484E"/>
    <w:rsid w:val="00946343"/>
    <w:rsid w:val="0096653D"/>
    <w:rsid w:val="009A5CAF"/>
    <w:rsid w:val="009B1B88"/>
    <w:rsid w:val="009C3666"/>
    <w:rsid w:val="009C4693"/>
    <w:rsid w:val="00A01893"/>
    <w:rsid w:val="00A02C18"/>
    <w:rsid w:val="00A16BF4"/>
    <w:rsid w:val="00A17FBB"/>
    <w:rsid w:val="00A63F10"/>
    <w:rsid w:val="00A7302A"/>
    <w:rsid w:val="00A82DA0"/>
    <w:rsid w:val="00AA7648"/>
    <w:rsid w:val="00AB1144"/>
    <w:rsid w:val="00AD475F"/>
    <w:rsid w:val="00AE0C89"/>
    <w:rsid w:val="00AE2C7A"/>
    <w:rsid w:val="00AE69E2"/>
    <w:rsid w:val="00AF56DD"/>
    <w:rsid w:val="00AF66DE"/>
    <w:rsid w:val="00B263F1"/>
    <w:rsid w:val="00B330E3"/>
    <w:rsid w:val="00B350A7"/>
    <w:rsid w:val="00B408E2"/>
    <w:rsid w:val="00B57747"/>
    <w:rsid w:val="00B6512A"/>
    <w:rsid w:val="00B775F3"/>
    <w:rsid w:val="00BA7390"/>
    <w:rsid w:val="00BC3875"/>
    <w:rsid w:val="00BC7737"/>
    <w:rsid w:val="00BF72A4"/>
    <w:rsid w:val="00C041CF"/>
    <w:rsid w:val="00C07E56"/>
    <w:rsid w:val="00C4158D"/>
    <w:rsid w:val="00C43179"/>
    <w:rsid w:val="00C74914"/>
    <w:rsid w:val="00CA5988"/>
    <w:rsid w:val="00CC3413"/>
    <w:rsid w:val="00CC6D5F"/>
    <w:rsid w:val="00CE7290"/>
    <w:rsid w:val="00D05D47"/>
    <w:rsid w:val="00D15B53"/>
    <w:rsid w:val="00D32341"/>
    <w:rsid w:val="00D34D60"/>
    <w:rsid w:val="00D46119"/>
    <w:rsid w:val="00D72E14"/>
    <w:rsid w:val="00D77A34"/>
    <w:rsid w:val="00D87053"/>
    <w:rsid w:val="00D94E11"/>
    <w:rsid w:val="00D94F58"/>
    <w:rsid w:val="00DD5D8B"/>
    <w:rsid w:val="00DD63A6"/>
    <w:rsid w:val="00DD734C"/>
    <w:rsid w:val="00E012C1"/>
    <w:rsid w:val="00E10663"/>
    <w:rsid w:val="00E203AB"/>
    <w:rsid w:val="00E24AC6"/>
    <w:rsid w:val="00E460D6"/>
    <w:rsid w:val="00E46E59"/>
    <w:rsid w:val="00E574D9"/>
    <w:rsid w:val="00E65882"/>
    <w:rsid w:val="00E85A30"/>
    <w:rsid w:val="00EA6301"/>
    <w:rsid w:val="00EC4D0A"/>
    <w:rsid w:val="00EC558E"/>
    <w:rsid w:val="00ED3562"/>
    <w:rsid w:val="00ED42C6"/>
    <w:rsid w:val="00ED7ABF"/>
    <w:rsid w:val="00EF3AF6"/>
    <w:rsid w:val="00F20B73"/>
    <w:rsid w:val="00F22DC0"/>
    <w:rsid w:val="00F4465E"/>
    <w:rsid w:val="00F53475"/>
    <w:rsid w:val="00F54818"/>
    <w:rsid w:val="00F67E6D"/>
    <w:rsid w:val="00FB2640"/>
    <w:rsid w:val="00FD5594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BFBBB"/>
  <w15:chartTrackingRefBased/>
  <w15:docId w15:val="{EA25F991-531D-4E94-810A-CD98DE1E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B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C89"/>
  </w:style>
  <w:style w:type="paragraph" w:styleId="a6">
    <w:name w:val="footer"/>
    <w:basedOn w:val="a"/>
    <w:link w:val="a7"/>
    <w:uiPriority w:val="99"/>
    <w:unhideWhenUsed/>
    <w:rsid w:val="00AE0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C89"/>
  </w:style>
  <w:style w:type="table" w:styleId="a8">
    <w:name w:val="Table Grid"/>
    <w:basedOn w:val="a1"/>
    <w:uiPriority w:val="39"/>
    <w:rsid w:val="0011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9219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Margolina</dc:creator>
  <cp:keywords/>
  <dc:description/>
  <cp:lastModifiedBy>Svetlana</cp:lastModifiedBy>
  <cp:revision>3</cp:revision>
  <dcterms:created xsi:type="dcterms:W3CDTF">2018-08-16T15:52:00Z</dcterms:created>
  <dcterms:modified xsi:type="dcterms:W3CDTF">2018-08-16T16:02:00Z</dcterms:modified>
</cp:coreProperties>
</file>