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BC7737" w:rsidRPr="00D94E11" w:rsidTr="00CE7290">
        <w:tc>
          <w:tcPr>
            <w:tcW w:w="5240" w:type="dxa"/>
          </w:tcPr>
          <w:p w:rsidR="0011315E" w:rsidRPr="00D94E11" w:rsidRDefault="00836270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9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Appendix I: </w:t>
            </w:r>
            <w:r w:rsidRPr="00D9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Structured peer-based support for the implementation of the Bologna key commitments</w:t>
            </w:r>
          </w:p>
        </w:tc>
        <w:tc>
          <w:tcPr>
            <w:tcW w:w="5387" w:type="dxa"/>
          </w:tcPr>
          <w:p w:rsidR="00682B26" w:rsidRPr="000F2796" w:rsidRDefault="00682B26" w:rsidP="00682B2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Додаток II: </w:t>
            </w:r>
            <w:r w:rsidRPr="000F2796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Стратегія Білорусі</w:t>
            </w:r>
          </w:p>
          <w:p w:rsidR="00682B26" w:rsidRPr="000F2796" w:rsidRDefault="00682B26" w:rsidP="00682B2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2B26" w:rsidRPr="00D94E11" w:rsidRDefault="00682B26" w:rsidP="00682B2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37" w:rsidRPr="00D94E11" w:rsidTr="00CE7290">
        <w:tc>
          <w:tcPr>
            <w:tcW w:w="5240" w:type="dxa"/>
          </w:tcPr>
          <w:p w:rsidR="0011315E" w:rsidRPr="00D94E11" w:rsidRDefault="004D6920" w:rsidP="00D94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FOR THE IMPLEMENTATION OF KEY BOLOGNA COMMITMENTS</w:t>
            </w:r>
          </w:p>
        </w:tc>
        <w:tc>
          <w:tcPr>
            <w:tcW w:w="5387" w:type="dxa"/>
          </w:tcPr>
          <w:p w:rsidR="0011315E" w:rsidRPr="00682B26" w:rsidRDefault="00682B26" w:rsidP="00682B2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796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СТРАТЕГІЧНОГО ПЛАНУ ДІЙ З РЕАЛІЗАЦІЇ ОСНОВНИХ ЦІЛЕЙ РОЗВИТКУ СИСТЕМИ ОСВІТИ У ВІДПОВІДНОСТІ ДО ПРИНЦИПІВ І ІНСТРУМЕНТІВ ЄПВО</w:t>
            </w:r>
          </w:p>
        </w:tc>
      </w:tr>
      <w:tr w:rsidR="00BC7737" w:rsidRPr="00D94E11" w:rsidTr="00CE7290">
        <w:tc>
          <w:tcPr>
            <w:tcW w:w="5240" w:type="dxa"/>
          </w:tcPr>
          <w:p w:rsidR="00F22DC0" w:rsidRDefault="00F22DC0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Proposed support for the implementation of key Bologna commitments</w:t>
            </w:r>
          </w:p>
          <w:p w:rsidR="00D87053" w:rsidRPr="00D94E11" w:rsidRDefault="00D87053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F22DC0" w:rsidRDefault="00F22DC0" w:rsidP="007E1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Support for the implementation of key Bologna commitments takes place through a </w:t>
            </w:r>
            <w:proofErr w:type="spellStart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</w:t>
            </w:r>
            <w:r w:rsidR="00D9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dedicated peer groups, which aim to improve the implementation of specific key commitments of the</w:t>
            </w:r>
            <w:r w:rsidR="00D9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Bologna Process. It is based on the established reporting mechanisms of the Bologna Process and the</w:t>
            </w:r>
            <w:r w:rsidR="007E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principles of collaboration, equality, mutual learning, peer support and peer-counselling. Its main purpose</w:t>
            </w:r>
            <w:r w:rsidR="007E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to improve full and effective implementation of key Bologna commitments throughout the EHEA.</w:t>
            </w:r>
          </w:p>
          <w:p w:rsidR="007E115C" w:rsidRDefault="007E115C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5452" w:rsidRDefault="00525452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5452" w:rsidRPr="00D94E11" w:rsidRDefault="00525452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2DC0" w:rsidRDefault="00F22DC0" w:rsidP="002E7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three key commitments BFUG has identified as the focus for further work in the period 2018-2020</w:t>
            </w:r>
            <w:r w:rsidR="002E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are:</w:t>
            </w:r>
          </w:p>
          <w:p w:rsidR="002E73F3" w:rsidRPr="00D94E11" w:rsidRDefault="002E73F3" w:rsidP="002E7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2DC0" w:rsidRDefault="00F22DC0" w:rsidP="00ED7ABF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26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•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</w:t>
            </w:r>
            <w:r w:rsidRPr="001D3F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Three-Cycle System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compatible with the QF-EHEA and first and second cycle degrees scaled by</w:t>
            </w:r>
            <w:r w:rsidR="00FB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ECTS: Programmes are structured according to the three cycle-system of the Bologna model and</w:t>
            </w:r>
            <w:r w:rsidR="00FB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scaled by the European Credit Transfer System (ECTS). Qualifications achieved in each cycle are</w:t>
            </w:r>
            <w:r w:rsidR="00FB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defined in a National Qualification Framework (NQF) which is compatible with the Qualification</w:t>
            </w:r>
            <w:r w:rsidR="00FB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Framework of the European Higher Education Area (QF-EHEA).</w:t>
            </w:r>
          </w:p>
          <w:p w:rsidR="00FB2640" w:rsidRDefault="00FB2640" w:rsidP="00FB2640">
            <w:pPr>
              <w:autoSpaceDE w:val="0"/>
              <w:autoSpaceDN w:val="0"/>
              <w:adjustRightInd w:val="0"/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3F6B" w:rsidRDefault="001D3F6B" w:rsidP="00FB2640">
            <w:pPr>
              <w:autoSpaceDE w:val="0"/>
              <w:autoSpaceDN w:val="0"/>
              <w:adjustRightInd w:val="0"/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D3F6B" w:rsidRPr="00D94E11" w:rsidRDefault="001D3F6B" w:rsidP="00FB2640">
            <w:pPr>
              <w:autoSpaceDE w:val="0"/>
              <w:autoSpaceDN w:val="0"/>
              <w:adjustRightInd w:val="0"/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2DC0" w:rsidRPr="00E24AC6" w:rsidRDefault="00F22DC0" w:rsidP="005D25EE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•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Compliance with the Lisbon </w:t>
            </w:r>
            <w:r w:rsidRPr="00E24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Recognition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Convention (LRC): Cross-border recognition practices are</w:t>
            </w:r>
            <w:r w:rsidR="00E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compliance with the Lisbon Recognition convention, including promoting through the national</w:t>
            </w:r>
            <w:r w:rsidR="00E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information </w:t>
            </w:r>
            <w:proofErr w:type="spellStart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centres</w:t>
            </w:r>
            <w:proofErr w:type="spellEnd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 otherwise, the use of the UNESCO/Council of Europe Diploma Supplement</w:t>
            </w:r>
            <w:r w:rsidR="00E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any other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comparable document by the higher education institutions of the Parties</w:t>
            </w:r>
            <w:r w:rsidR="00E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2DC0" w:rsidRDefault="00F22DC0" w:rsidP="00D05D47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• </w:t>
            </w:r>
            <w:r w:rsidRPr="005170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Quality Assurance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compliance with the Standards and Guidelines for Quality Assurance in the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Higher Education Area (ESG): Institutions granting degrees assure the quality of their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programmes leading to degrees within the three-cycle system following the Standards and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Guidelines for Quality Assurance in the European Higher Education Area (ESG 2015). External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quality assurance (be it at </w:t>
            </w:r>
            <w:proofErr w:type="spellStart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 institutional level) is performed by Agencies that have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demonstrably complied with the standards and guidelines stipulated in the current ESG. This is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ensured where only those agencies registered on the European Quality Assurance Register</w:t>
            </w:r>
            <w:r w:rsid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Higher Education (EQAR) are allowed to operate in the country.</w:t>
            </w:r>
          </w:p>
          <w:p w:rsidR="005D25EE" w:rsidRDefault="005D25EE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2DC0" w:rsidRDefault="00F22DC0" w:rsidP="00E65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proposal follows the Bologna philosophy of peer- and process review which fits well with the</w:t>
            </w:r>
            <w:r w:rsidR="00E6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collegiate and improvement-oriented ethos of the EHEA and aims to make implementation of key</w:t>
            </w:r>
            <w:r w:rsidR="00E6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commitments more transparent.</w:t>
            </w:r>
          </w:p>
          <w:p w:rsidR="000C6BF0" w:rsidRPr="00D94E11" w:rsidRDefault="000C6BF0" w:rsidP="00E65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2DC0" w:rsidRDefault="00F22DC0" w:rsidP="00806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timeframe proposed for a single round is the period between Ministerial Conferences, thus following</w:t>
            </w:r>
            <w:r w:rsidR="0000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normal monitoring timeframe in the EHEA. The </w:t>
            </w:r>
            <w:proofErr w:type="spellStart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will be supported by the facilitating</w:t>
            </w:r>
            <w:r w:rsidR="0000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6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Bologna Implementation Coordination Group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which includes but is not limited to the chairs of the peer</w:t>
            </w:r>
            <w:r w:rsidR="0000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groups involved and appointed during the Ministerial Conference.</w:t>
            </w:r>
          </w:p>
          <w:p w:rsidR="0011315E" w:rsidRPr="00D94E11" w:rsidRDefault="0011315E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BC7737" w:rsidRDefault="00A7302A" w:rsidP="00D8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Зап</w:t>
            </w:r>
            <w:r w:rsidR="00BC7737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ропонована підтримка виконання ключових зобов’язань Болонського процесу</w:t>
            </w:r>
          </w:p>
          <w:p w:rsidR="00D87053" w:rsidRPr="00D94E11" w:rsidRDefault="00D87053" w:rsidP="00D8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7737" w:rsidRDefault="00BC7737" w:rsidP="007E1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Підтримка в</w:t>
            </w:r>
            <w:r w:rsidR="007E115C">
              <w:rPr>
                <w:rFonts w:ascii="Times New Roman" w:hAnsi="Times New Roman" w:cs="Times New Roman"/>
                <w:sz w:val="24"/>
                <w:szCs w:val="24"/>
              </w:rPr>
              <w:t xml:space="preserve">иконання ключових зобов’язань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Болонського процесу відбувається за допомогою програми із спеціал</w:t>
            </w:r>
            <w:r w:rsidR="00525452">
              <w:rPr>
                <w:rFonts w:ascii="Times New Roman" w:hAnsi="Times New Roman" w:cs="Times New Roman"/>
                <w:sz w:val="24"/>
                <w:szCs w:val="24"/>
              </w:rPr>
              <w:t xml:space="preserve">ізованими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експертними групами, які мають на меті покращити виконання </w:t>
            </w:r>
            <w:r w:rsidR="007E115C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ключових зобов’язань у рамках Болонського процесу. Вона ґрунтується на встановлених </w:t>
            </w:r>
            <w:r w:rsidR="00525452" w:rsidRPr="00D94E11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 w:rsidR="0052545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525452"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механізмах Болонського процесу та принципах співпраці, рівності, взаємного навчання, </w:t>
            </w:r>
            <w:r w:rsidR="00525452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колегіальної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експертної підтримки та консультуван</w:t>
            </w:r>
            <w:r w:rsidR="005254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я. Її головна мета – покращити повне та ефективне виконання ключових зобов’язань Болонського процесу </w:t>
            </w:r>
            <w:r w:rsidR="00525452"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сьому ЄПВО.</w:t>
            </w:r>
          </w:p>
          <w:p w:rsidR="007E115C" w:rsidRPr="00D94E11" w:rsidRDefault="007E115C" w:rsidP="00D8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37" w:rsidRDefault="00BC7737" w:rsidP="002E73F3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Група супроводу Болонського процесу (BFUG) </w:t>
            </w:r>
            <w:r w:rsidR="00CE7290">
              <w:rPr>
                <w:rFonts w:ascii="Times New Roman" w:hAnsi="Times New Roman" w:cs="Times New Roman"/>
                <w:sz w:val="24"/>
                <w:szCs w:val="24"/>
              </w:rPr>
              <w:t>ідентифікувала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три ключові зобов’язання як фокус для подальшої роботи протягом 2018-2020 р</w:t>
            </w:r>
            <w:r w:rsidR="00CE729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3F3" w:rsidRPr="00D94E11" w:rsidRDefault="002E73F3" w:rsidP="002E73F3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37" w:rsidRDefault="002E73F3" w:rsidP="00FB264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="00BC7737" w:rsidRPr="001D3F6B">
              <w:rPr>
                <w:rFonts w:ascii="Times New Roman" w:hAnsi="Times New Roman" w:cs="Times New Roman"/>
                <w:i/>
                <w:sz w:val="24"/>
                <w:szCs w:val="24"/>
              </w:rPr>
              <w:t>Трициклова</w:t>
            </w:r>
            <w:proofErr w:type="spellEnd"/>
            <w:r w:rsidR="00BC7737" w:rsidRPr="001D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система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, сумісна з </w:t>
            </w:r>
            <w:r w:rsidRPr="002E73F3">
              <w:rPr>
                <w:rFonts w:ascii="Times New Roman" w:hAnsi="Times New Roman" w:cs="Times New Roman"/>
                <w:sz w:val="24"/>
                <w:szCs w:val="24"/>
              </w:rPr>
              <w:t>Рамкою кваліфікацій ЄПВО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r w:rsidRPr="002E73F3">
              <w:rPr>
                <w:rFonts w:ascii="Times New Roman" w:hAnsi="Times New Roman" w:cs="Times New Roman"/>
                <w:sz w:val="24"/>
                <w:szCs w:val="24"/>
              </w:rPr>
              <w:t>ступені</w:t>
            </w:r>
            <w:r w:rsidR="00FB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дипломи першого </w:t>
            </w:r>
            <w:r w:rsidR="00FB264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другого циклів </w:t>
            </w:r>
            <w:r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вищої освіти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ЄКТС: 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рограми структур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 xml:space="preserve">овані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трициклової</w:t>
            </w:r>
            <w:proofErr w:type="spellEnd"/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Болонської моделі та 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засновані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на Європейській кредитн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 xml:space="preserve">ій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трансферн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 xml:space="preserve">о-накопичувальній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системі (ЄКТС). Кваліфікації, досягнут</w:t>
            </w:r>
            <w:r w:rsidR="001D3F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кожному циклі, визнач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ені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 xml:space="preserve">ці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 (НРК), </w:t>
            </w:r>
            <w:r w:rsidR="00F54818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сумісн</w:t>
            </w:r>
            <w:r w:rsidR="00F548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з Рамкою кваліфікацій Євро</w:t>
            </w:r>
            <w:r w:rsidR="00ED7ABF">
              <w:rPr>
                <w:rFonts w:ascii="Times New Roman" w:hAnsi="Times New Roman" w:cs="Times New Roman"/>
                <w:sz w:val="24"/>
                <w:szCs w:val="24"/>
              </w:rPr>
              <w:t>пейського простору вищої освіти</w:t>
            </w:r>
            <w:r w:rsidR="001D3F6B">
              <w:rPr>
                <w:rFonts w:ascii="Times New Roman" w:hAnsi="Times New Roman" w:cs="Times New Roman"/>
                <w:sz w:val="24"/>
                <w:szCs w:val="24"/>
              </w:rPr>
              <w:t xml:space="preserve"> (РК ЄПВО)</w:t>
            </w:r>
            <w:r w:rsidR="00BC7737" w:rsidRPr="002E7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640" w:rsidRPr="002E73F3" w:rsidRDefault="00FB2640" w:rsidP="00FB264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37" w:rsidRPr="00FB2640" w:rsidRDefault="00FB2640" w:rsidP="00E24AC6">
            <w:pPr>
              <w:autoSpaceDE w:val="0"/>
              <w:autoSpaceDN w:val="0"/>
              <w:adjustRightInd w:val="0"/>
              <w:ind w:left="34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BC7737" w:rsidRPr="00FB2640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Відповідність Лісабонській конвенції про </w:t>
            </w:r>
            <w:r w:rsidR="00BC7737" w:rsidRPr="00E24AC6">
              <w:rPr>
                <w:rFonts w:ascii="Times New Roman" w:hAnsi="Times New Roman" w:cs="Times New Roman"/>
                <w:i/>
                <w:sz w:val="24"/>
                <w:szCs w:val="24"/>
              </w:rPr>
              <w:t>визнання</w:t>
            </w:r>
            <w:r w:rsidR="00BC7737" w:rsidRPr="00FB2640">
              <w:rPr>
                <w:rFonts w:ascii="Times New Roman" w:hAnsi="Times New Roman" w:cs="Times New Roman"/>
                <w:sz w:val="24"/>
                <w:szCs w:val="24"/>
              </w:rPr>
              <w:t xml:space="preserve"> (ЛКВ): Практики транскордонного визнання відповідають Лісабонській конвенції про визнання, включаючи сприяння через національні інформаційні центри або іншим чином, використання Додатку до диплому ЮНЕСКО/Ради Європи або будь-якого іншого </w:t>
            </w:r>
            <w:r w:rsidR="00BC7737" w:rsidRPr="00FB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подібного документа закладами вищої освіти Сторін.</w:t>
            </w:r>
          </w:p>
          <w:p w:rsidR="00BC7737" w:rsidRPr="005D25EE" w:rsidRDefault="005D25EE" w:rsidP="00D05D4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737" w:rsidRPr="005170B1">
              <w:rPr>
                <w:rFonts w:ascii="Times New Roman" w:hAnsi="Times New Roman" w:cs="Times New Roman"/>
                <w:i/>
                <w:sz w:val="24"/>
                <w:szCs w:val="24"/>
              </w:rPr>
              <w:t>Забезпечення якості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відповідності до 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>Стандартів та рекомендацій щодо забезпечення якості у Європейському просторі вищої освіти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70B1"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ESG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): Заклади, що надають 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>ступені/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дипломи, забезпечують якість своїх 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 xml:space="preserve">ступеневих 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програм у межах </w:t>
            </w:r>
            <w:proofErr w:type="spellStart"/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>трициклової</w:t>
            </w:r>
            <w:proofErr w:type="spellEnd"/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відповідно до 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>Стандартів та рекомендацій щодо забезпечення якості у Європейському просторі вищої освіти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70B1"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ESG</w:t>
            </w:r>
            <w:r w:rsidR="005170B1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2015). Зовнішнє забезпечення якості (як на </w:t>
            </w:r>
            <w:r w:rsidR="00061C61">
              <w:rPr>
                <w:rFonts w:ascii="Times New Roman" w:hAnsi="Times New Roman" w:cs="Times New Roman"/>
                <w:sz w:val="24"/>
                <w:szCs w:val="24"/>
              </w:rPr>
              <w:t xml:space="preserve">рівні 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061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>, так і на інституційному рівні) реалізуєт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 xml:space="preserve">ься Агентствами, що чітко дотримуються стандартів </w:t>
            </w:r>
            <w:r w:rsidR="00061C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170B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рекомендацій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установлених </w:t>
            </w:r>
            <w:r w:rsidR="00061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0B1"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ESG</w:t>
            </w:r>
            <w:r w:rsidR="00BC7737" w:rsidRPr="005D25EE">
              <w:rPr>
                <w:rFonts w:ascii="Times New Roman" w:hAnsi="Times New Roman" w:cs="Times New Roman"/>
                <w:sz w:val="24"/>
                <w:szCs w:val="24"/>
              </w:rPr>
              <w:t>. Це забезпечується найкращим чином у тих країнах, де дозволяється працювати лише агентствам, зареєстрованим у Європейському реєстрі забезпечення якості у вищій освіті (EQAR).</w:t>
            </w:r>
          </w:p>
          <w:p w:rsidR="005D25EE" w:rsidRPr="00D94E11" w:rsidRDefault="005D25EE" w:rsidP="005D25E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37" w:rsidRDefault="00BC7737" w:rsidP="00E65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7A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C7A" w:rsidRPr="00AE2C7A">
              <w:rPr>
                <w:rFonts w:ascii="Times New Roman" w:hAnsi="Times New Roman" w:cs="Times New Roman"/>
                <w:sz w:val="24"/>
                <w:szCs w:val="24"/>
              </w:rPr>
              <w:t>слідує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олонськ</w:t>
            </w:r>
            <w:r w:rsidR="004052BB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філософії </w:t>
            </w:r>
            <w:r w:rsidR="00EC4D0A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колегіального </w:t>
            </w:r>
            <w:r w:rsidR="00F20B73">
              <w:rPr>
                <w:rFonts w:ascii="Times New Roman" w:hAnsi="Times New Roman" w:cs="Times New Roman"/>
                <w:sz w:val="24"/>
                <w:szCs w:val="24"/>
              </w:rPr>
              <w:t>експертного рецензування</w:t>
            </w:r>
            <w:r w:rsidR="003F359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F20B73">
              <w:rPr>
                <w:rFonts w:ascii="Times New Roman" w:hAnsi="Times New Roman" w:cs="Times New Roman"/>
                <w:sz w:val="24"/>
                <w:szCs w:val="24"/>
              </w:rPr>
              <w:t xml:space="preserve"> огляду процесу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, що відповідає колегіальному, орієнтованому на покращення духу ЄПВО та має на меті зробити виконання ключових зобов’язань більш прозорим.</w:t>
            </w:r>
          </w:p>
          <w:p w:rsidR="00BC7737" w:rsidRDefault="00BC7737" w:rsidP="00806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Часові рамки, запропоновані для одного раунду</w:t>
            </w:r>
            <w:r w:rsidR="00006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– це період між Міністерськими конференціями, що</w:t>
            </w:r>
            <w:r w:rsidR="000C6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таким чином</w:t>
            </w:r>
            <w:r w:rsidR="000C6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звичайним часовим рамкам моніторингу в ЄПВО. Програму підтрим</w:t>
            </w:r>
            <w:r w:rsidR="008064D6">
              <w:rPr>
                <w:rFonts w:ascii="Times New Roman" w:hAnsi="Times New Roman" w:cs="Times New Roman"/>
                <w:sz w:val="24"/>
                <w:szCs w:val="24"/>
              </w:rPr>
              <w:t>уватиме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4D6" w:rsidRPr="00506B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Груп</w:t>
            </w:r>
            <w:r w:rsidR="008064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8064D6" w:rsidRPr="00506B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координації запровадження Болонського процесу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, до якої увійдуть, окрім інших членів, голови </w:t>
            </w:r>
            <w:r w:rsidR="00CA5988">
              <w:rPr>
                <w:rFonts w:ascii="Times New Roman" w:hAnsi="Times New Roman" w:cs="Times New Roman"/>
                <w:sz w:val="24"/>
                <w:szCs w:val="24"/>
              </w:rPr>
              <w:t>експертних груп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988"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залучених </w:t>
            </w:r>
            <w:r w:rsidR="00CA598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призначен</w:t>
            </w:r>
            <w:r w:rsidR="00CA598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під час Міністерської конференції.</w:t>
            </w:r>
          </w:p>
          <w:p w:rsidR="00006002" w:rsidRPr="00D94E11" w:rsidRDefault="00006002" w:rsidP="00806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8243F" w:rsidRDefault="0018243F"/>
    <w:p w:rsidR="0018243F" w:rsidRDefault="0018243F">
      <w:r>
        <w:br w:type="page"/>
      </w:r>
    </w:p>
    <w:p w:rsidR="0018243F" w:rsidRDefault="0018243F"/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18243F" w:rsidRPr="00D94E11" w:rsidTr="00CE7290">
        <w:tc>
          <w:tcPr>
            <w:tcW w:w="5240" w:type="dxa"/>
          </w:tcPr>
          <w:p w:rsidR="0018243F" w:rsidRPr="00D94E11" w:rsidRDefault="0018243F" w:rsidP="00D9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Steps of support for implementation of key Bologna commitments</w:t>
            </w:r>
          </w:p>
        </w:tc>
        <w:tc>
          <w:tcPr>
            <w:tcW w:w="5387" w:type="dxa"/>
          </w:tcPr>
          <w:p w:rsidR="0018243F" w:rsidRPr="00D94E11" w:rsidRDefault="0018243F" w:rsidP="00D8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Кроки підтримки виконання ключових зобов’язань Болонського процесу</w:t>
            </w:r>
          </w:p>
        </w:tc>
      </w:tr>
      <w:tr w:rsidR="00BC7737" w:rsidRPr="00D94E11" w:rsidTr="00CE7290">
        <w:tc>
          <w:tcPr>
            <w:tcW w:w="5240" w:type="dxa"/>
          </w:tcPr>
          <w:p w:rsidR="00BC7737" w:rsidRPr="00D94E11" w:rsidRDefault="007147DA" w:rsidP="002C07A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E98AB3B" wp14:editId="61EDC22F">
                  <wp:extent cx="3181350" cy="2581275"/>
                  <wp:effectExtent l="0" t="0" r="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BC7737" w:rsidRPr="00D94E11" w:rsidRDefault="00BC7737" w:rsidP="00BC77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ABF55E" wp14:editId="26F11B40">
                  <wp:extent cx="3181350" cy="2581275"/>
                  <wp:effectExtent l="0" t="0" r="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BC7737" w:rsidRPr="00D94E11" w:rsidTr="00CE7290">
        <w:tc>
          <w:tcPr>
            <w:tcW w:w="5240" w:type="dxa"/>
          </w:tcPr>
          <w:p w:rsidR="00872C9C" w:rsidRDefault="00872C9C" w:rsidP="00AA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Survey: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level of implementation of the key commitments is surveyed based on data submitted</w:t>
            </w:r>
            <w:r w:rsidR="00AA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during the BFUG's normal monitoring procedures, using the scoreboard indicators in the Bologna</w:t>
            </w:r>
            <w:r w:rsidR="00AA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Implementation Report. The implementation of the key commitments is addressed in a</w:t>
            </w:r>
            <w:r w:rsidR="00AA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supplementary report thereon.</w:t>
            </w:r>
          </w:p>
          <w:p w:rsidR="00D34D60" w:rsidRPr="00D94E11" w:rsidRDefault="00D34D60" w:rsidP="00AA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B093C" w:rsidRDefault="00872C9C" w:rsidP="00703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Invite: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BFUG delegates of all EHEA countries are formally invited by the BFUG Co-chairs to take</w:t>
            </w:r>
            <w:r w:rsidR="008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 in one or more thematic peer group, each focusing on one key commitment. Based on the</w:t>
            </w:r>
            <w:r w:rsidR="008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surveyed and reported in step 1, countries will be asked to self-identify their needs and</w:t>
            </w:r>
            <w:r w:rsidR="008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expertise to commit to the mode through which they can contribute to the improved implementation of</w:t>
            </w:r>
            <w:r w:rsidR="008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key commitments of the Bologna Process in the EHEA as a whole.</w:t>
            </w:r>
            <w:r w:rsidR="008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30D4" w:rsidRDefault="007030D4" w:rsidP="00703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D94E11" w:rsidRDefault="00872C9C" w:rsidP="002B6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(a) Countries that self-identify as having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successfully implemented a key commitment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(indicated by</w:t>
            </w:r>
            <w:r w:rsidR="002B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none of the relevant scoreboard indicators being red, and not more than one being orange) will be</w:t>
            </w:r>
            <w:r w:rsidR="002B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invited to suggest ways in which they are willing to support countries having difficulties with</w:t>
            </w:r>
            <w:r w:rsidR="002B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implementation of that key commitment, e.g. through peer-learning, reverse peer-review or other</w:t>
            </w:r>
            <w:r w:rsidR="002B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activities designed to share their examples of successful implementation and aid others in</w:t>
            </w:r>
            <w:r w:rsidR="002B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achieving the same.</w:t>
            </w:r>
          </w:p>
          <w:p w:rsidR="007A1F8C" w:rsidRDefault="007A1F8C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A1F8C" w:rsidRDefault="007A1F8C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A1F8C" w:rsidRDefault="007A1F8C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2C9C" w:rsidRDefault="00872C9C" w:rsidP="00300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(b) Countries that self-identify as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not or insufficiently having implemented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key commitment</w:t>
            </w:r>
            <w:r w:rsidR="0030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(identified by having one or more red scoreboard indicators, and two or more that are orange) will</w:t>
            </w:r>
            <w:r w:rsidR="0030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 invited to indicate what peer support would be beneficial to aid implementation and how it aims</w:t>
            </w:r>
            <w:r w:rsidR="0030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use that support.</w:t>
            </w:r>
          </w:p>
          <w:p w:rsidR="00A01893" w:rsidRDefault="00A01893" w:rsidP="00300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01893" w:rsidRPr="00D94E11" w:rsidRDefault="00A01893" w:rsidP="00300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2C9C" w:rsidRDefault="00872C9C" w:rsidP="00A63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Each country is expected to join at least one of the peer groups.</w:t>
            </w:r>
          </w:p>
          <w:p w:rsidR="00872C9C" w:rsidRDefault="00872C9C" w:rsidP="00A01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it is possible to face implementation challenges in one or two key commitments while having</w:t>
            </w:r>
            <w:r w:rsidR="00A0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implemented the other(s) successfully, countries could indicate a need for peer support in certain</w:t>
            </w:r>
            <w:r w:rsidR="00A0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areas while offering peer support in others, as appropriate.</w:t>
            </w:r>
          </w:p>
          <w:p w:rsidR="003831D6" w:rsidRDefault="003831D6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31D6" w:rsidRPr="00D94E11" w:rsidRDefault="003831D6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2C9C" w:rsidRDefault="00872C9C" w:rsidP="007A3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Response: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BFUG delegate sends a reply to the Bologna Implementation Coordination Group</w:t>
            </w:r>
            <w:r w:rsidR="003F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indicating what the country’s implementation goals are when it comes to the key commitments and</w:t>
            </w:r>
            <w:r w:rsidR="003F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nominates representatives to the peer groups in those areas where the country requires support or</w:t>
            </w:r>
            <w:r w:rsidR="003F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offer support, respectively. The representative(s) should be people with responsibility for the key</w:t>
            </w:r>
            <w:r w:rsidR="003F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commitment concerned, and BFUG delegates are strongly encouraged to involve relevant</w:t>
            </w:r>
            <w:r w:rsidR="003F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stakeholders who could offer, or be the recipients of, peer support or peer counselling in the area. In</w:t>
            </w:r>
            <w:r w:rsidR="003F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peer groups they will be able to obtain advice on how to reach these goals.</w:t>
            </w:r>
          </w:p>
          <w:p w:rsidR="007A359D" w:rsidRDefault="007A359D" w:rsidP="007A3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A359D" w:rsidRPr="00D94E11" w:rsidRDefault="007A359D" w:rsidP="007A3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2C9C" w:rsidRDefault="00872C9C" w:rsidP="005A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Peer support: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this point peer support will start. The Bologna Implementation Coordination Group</w:t>
            </w:r>
            <w:r w:rsidR="003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facilitates the grouping of countries offering peer support and those wishing to take advantage of such</w:t>
            </w:r>
            <w:r w:rsidR="003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support into thematic peer groups. Each peer group will be dedicated to supporting the implementation</w:t>
            </w:r>
            <w:r w:rsidR="003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a single key Bologna commitment. These peer groups will include both countries that have</w:t>
            </w:r>
            <w:r w:rsidR="003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sufficiently implemented the key commitment concerned and countri</w:t>
            </w:r>
            <w:r w:rsidR="009C3666"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 coping with challenges to be</w:t>
            </w:r>
            <w:r w:rsidR="009C3666" w:rsidRPr="00D9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addressed for full implementation. Based on the goals identified in step 3 each peer group designs its</w:t>
            </w:r>
            <w:r w:rsidR="003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own action plan with specified activities and impacts for each country concerned, including the</w:t>
            </w:r>
            <w:r w:rsidR="003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expected involvement of relevant stakeholders.</w:t>
            </w:r>
          </w:p>
          <w:p w:rsidR="001E323E" w:rsidRDefault="001E323E" w:rsidP="005A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E323E" w:rsidRDefault="001E323E" w:rsidP="005A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F4C30" w:rsidRDefault="000F4C30" w:rsidP="005A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2C9C" w:rsidRDefault="00872C9C" w:rsidP="00B40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Update: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Each peer group gives an annual update to the Bologna Implementation Coordination Group</w:t>
            </w:r>
            <w:r w:rsidR="0066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 how the countries collaborating in that group have used peer support to enhance or support</w:t>
            </w:r>
            <w:r w:rsidR="0066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implementation. The Bologna Implementation Coordination Group in turn produces a summary report</w:t>
            </w:r>
            <w:r w:rsidR="0066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the BFUG.</w:t>
            </w:r>
          </w:p>
          <w:p w:rsidR="00466442" w:rsidRDefault="00466442" w:rsidP="00B40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66442" w:rsidRPr="00D94E11" w:rsidRDefault="00466442" w:rsidP="00B40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74D9" w:rsidRDefault="00872C9C" w:rsidP="00E57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r w:rsidRPr="00D94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Data: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All EHEA countries submit their data for the next implementation </w:t>
            </w:r>
            <w:r w:rsidR="00545E6B"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report, which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will mark the</w:t>
            </w:r>
            <w:r w:rsidR="008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starting point of a new round.</w:t>
            </w:r>
            <w:r w:rsidR="008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C9C" w:rsidRDefault="00872C9C" w:rsidP="00E57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supplementary report on implementation of key commitments (see step 1) will show current</w:t>
            </w:r>
            <w:r w:rsidR="008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implementation alongside level of implementation in the previous report for all countries. Submitted</w:t>
            </w:r>
            <w:r w:rsidR="0082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plans on implementation of specific key commitments will be highlighted in the supplementary report.</w:t>
            </w:r>
          </w:p>
          <w:p w:rsidR="0082143E" w:rsidRDefault="0082143E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574D9" w:rsidRPr="00D94E11" w:rsidRDefault="00E574D9" w:rsidP="0087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2C9C" w:rsidRPr="00D94E11" w:rsidRDefault="00872C9C" w:rsidP="0066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Incentives for improved implementation of key commitments</w:t>
            </w:r>
          </w:p>
          <w:p w:rsidR="00872C9C" w:rsidRPr="00D94E11" w:rsidRDefault="00872C9C" w:rsidP="00471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normal reporting process and the proposed support </w:t>
            </w:r>
            <w:proofErr w:type="spellStart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 by their very nature as incentives</w:t>
            </w:r>
            <w:r w:rsidR="004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improved implementation, in the way that the Bologna Process Implementation Report highlights</w:t>
            </w:r>
            <w:r w:rsidR="004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levels of implementation, and the </w:t>
            </w:r>
            <w:proofErr w:type="spellStart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supports improvements through targeted peer-learning and</w:t>
            </w:r>
            <w:r w:rsidR="004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support. In addition, it is proposed that countries that have made significant progress will be offered the</w:t>
            </w:r>
            <w:r w:rsidR="004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opportunity to highlight their work on implementation at the Ministerial Conference.</w:t>
            </w:r>
          </w:p>
          <w:p w:rsidR="00BC7737" w:rsidRPr="00D94E11" w:rsidRDefault="00872C9C" w:rsidP="00251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event that no action has been taken by a country and no improvement in implementation can be</w:t>
            </w:r>
            <w:r w:rsidR="002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noted from the data submitted during two rounds, the lack of improvement will be brought to the attention</w:t>
            </w:r>
            <w:r w:rsidR="0025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the Ministerial Conference. The Ministers will be asked for recommendations on how to proceed on a </w:t>
            </w:r>
            <w:r w:rsidRPr="00D9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by case basis.</w:t>
            </w:r>
          </w:p>
        </w:tc>
        <w:tc>
          <w:tcPr>
            <w:tcW w:w="5387" w:type="dxa"/>
          </w:tcPr>
          <w:p w:rsidR="00BC7737" w:rsidRPr="00AA7648" w:rsidRDefault="00AA7648" w:rsidP="00AA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37" w:rsidRPr="00AA7648">
              <w:rPr>
                <w:rFonts w:ascii="Times New Roman" w:hAnsi="Times New Roman" w:cs="Times New Roman"/>
                <w:b/>
                <w:sz w:val="24"/>
                <w:szCs w:val="24"/>
              </w:rPr>
              <w:t>Огляд</w:t>
            </w:r>
            <w:r w:rsidR="00BC7737" w:rsidRPr="00AA7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C7737" w:rsidRPr="00AA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Проводиться огляд рівня виконання ключових зобов’язань на основі даних, </w:t>
            </w:r>
            <w:r w:rsidR="007D384B">
              <w:rPr>
                <w:rFonts w:ascii="Times New Roman" w:hAnsi="Times New Roman" w:cs="Times New Roman"/>
                <w:bCs/>
                <w:sz w:val="24"/>
                <w:szCs w:val="24"/>
              </w:rPr>
              <w:t>зібраних</w:t>
            </w:r>
            <w:r w:rsidR="00BC7737" w:rsidRPr="00AA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 час звичайних моніторингових процедур </w:t>
            </w:r>
            <w:r w:rsidR="007D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Групи супроводу Болонського процесу (далі – </w:t>
            </w:r>
            <w:r w:rsidR="00BC7737" w:rsidRPr="00AA7648">
              <w:rPr>
                <w:rFonts w:ascii="Times New Roman" w:hAnsi="Times New Roman" w:cs="Times New Roman"/>
                <w:sz w:val="24"/>
                <w:szCs w:val="24"/>
              </w:rPr>
              <w:t>BFUG</w:t>
            </w:r>
            <w:r w:rsidR="007D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7737" w:rsidRPr="00AA7648">
              <w:rPr>
                <w:rFonts w:ascii="Times New Roman" w:hAnsi="Times New Roman" w:cs="Times New Roman"/>
                <w:sz w:val="24"/>
                <w:szCs w:val="24"/>
              </w:rPr>
              <w:t xml:space="preserve">, використовуючи індикатори </w:t>
            </w:r>
            <w:r w:rsidR="00300854">
              <w:rPr>
                <w:rFonts w:ascii="Times New Roman" w:hAnsi="Times New Roman" w:cs="Times New Roman"/>
                <w:sz w:val="24"/>
                <w:szCs w:val="24"/>
              </w:rPr>
              <w:t xml:space="preserve">шкали оцінювання </w:t>
            </w:r>
            <w:r w:rsidR="00BC7737" w:rsidRPr="00AA7648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 w:rsidR="006A0F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737" w:rsidRPr="00AA764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586136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AA7648">
              <w:rPr>
                <w:rFonts w:ascii="Times New Roman" w:hAnsi="Times New Roman" w:cs="Times New Roman"/>
                <w:sz w:val="24"/>
                <w:szCs w:val="24"/>
              </w:rPr>
              <w:t xml:space="preserve"> Болонського процесу. Виконання ключових зобов’язань розглядається у додатковому звіті</w:t>
            </w:r>
            <w:r w:rsidR="006A0F2C">
              <w:rPr>
                <w:rFonts w:ascii="Times New Roman" w:hAnsi="Times New Roman" w:cs="Times New Roman"/>
                <w:sz w:val="24"/>
                <w:szCs w:val="24"/>
              </w:rPr>
              <w:t xml:space="preserve"> з цього питання</w:t>
            </w:r>
            <w:r w:rsidR="00BC7737" w:rsidRPr="00AA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737" w:rsidRPr="006A0F2C" w:rsidRDefault="006A0F2C" w:rsidP="008B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37" w:rsidRPr="006A0F2C">
              <w:rPr>
                <w:rFonts w:ascii="Times New Roman" w:hAnsi="Times New Roman" w:cs="Times New Roman"/>
                <w:b/>
                <w:sz w:val="24"/>
                <w:szCs w:val="24"/>
              </w:rPr>
              <w:t>Запрошення:</w:t>
            </w:r>
            <w:r w:rsidR="00BC7737" w:rsidRPr="006A0F2C">
              <w:rPr>
                <w:rFonts w:ascii="Times New Roman" w:hAnsi="Times New Roman" w:cs="Times New Roman"/>
                <w:sz w:val="24"/>
                <w:szCs w:val="24"/>
              </w:rPr>
              <w:t xml:space="preserve"> Співголови BFUG офіційно запрошують делегатів</w:t>
            </w:r>
            <w:r w:rsidR="00BC7737" w:rsidRPr="006A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37" w:rsidRPr="006A0F2C">
              <w:rPr>
                <w:rFonts w:ascii="Times New Roman" w:hAnsi="Times New Roman" w:cs="Times New Roman"/>
                <w:sz w:val="24"/>
                <w:szCs w:val="24"/>
              </w:rPr>
              <w:t xml:space="preserve">BFUG від </w:t>
            </w:r>
            <w:r w:rsidR="00BC7737" w:rsidRPr="007030D4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r w:rsidR="00BC7737" w:rsidRPr="006A0F2C">
              <w:rPr>
                <w:rFonts w:ascii="Times New Roman" w:hAnsi="Times New Roman" w:cs="Times New Roman"/>
                <w:sz w:val="24"/>
                <w:szCs w:val="24"/>
              </w:rPr>
              <w:t xml:space="preserve"> країн ЄПВО взяти участь в одній або декількох тематичних експертни</w:t>
            </w:r>
            <w:r w:rsidR="007030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7737" w:rsidRPr="006A0F2C">
              <w:rPr>
                <w:rFonts w:ascii="Times New Roman" w:hAnsi="Times New Roman" w:cs="Times New Roman"/>
                <w:sz w:val="24"/>
                <w:szCs w:val="24"/>
              </w:rPr>
              <w:t xml:space="preserve"> групах, кожна з яких зосередиться на одному ключовому зобов’язанні. На основі інформації, зібраної та повідомленої в рамках кроку</w:t>
            </w:r>
            <w:r w:rsidR="007030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C7737" w:rsidRPr="006A0F2C">
              <w:rPr>
                <w:rFonts w:ascii="Times New Roman" w:hAnsi="Times New Roman" w:cs="Times New Roman"/>
                <w:sz w:val="24"/>
                <w:szCs w:val="24"/>
              </w:rPr>
              <w:t>, країнам потрібно буде визначити свої потреби та експертизу, яку вони зможуть надати у спосіб, що сприятиме кращому виконанню ключових зобов’язань Болонського процесу в ЄПВО в цілому.</w:t>
            </w:r>
          </w:p>
          <w:p w:rsidR="00BC7737" w:rsidRPr="00681C70" w:rsidRDefault="00681C70" w:rsidP="002B6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Країни, </w:t>
            </w:r>
            <w:proofErr w:type="spellStart"/>
            <w:r w:rsidR="007A1F8C">
              <w:rPr>
                <w:rFonts w:ascii="Times New Roman" w:hAnsi="Times New Roman" w:cs="Times New Roman"/>
                <w:sz w:val="24"/>
                <w:szCs w:val="24"/>
              </w:rPr>
              <w:t>самоідентифіковані</w:t>
            </w:r>
            <w:proofErr w:type="spellEnd"/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як такі, що </w:t>
            </w:r>
            <w:r w:rsidR="00BC7737" w:rsidRPr="00681C70">
              <w:rPr>
                <w:rFonts w:ascii="Times New Roman" w:hAnsi="Times New Roman" w:cs="Times New Roman"/>
                <w:b/>
                <w:sz w:val="24"/>
                <w:szCs w:val="24"/>
              </w:rPr>
              <w:t>успішно виконали ключове зобов’язання</w:t>
            </w:r>
            <w:r w:rsidR="00BC7737" w:rsidRPr="00681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>(про що свідчить відсутність червоних індикаторів</w:t>
            </w:r>
            <w:r w:rsidR="00300854">
              <w:rPr>
                <w:rFonts w:ascii="Times New Roman" w:hAnsi="Times New Roman" w:cs="Times New Roman"/>
                <w:sz w:val="24"/>
                <w:szCs w:val="24"/>
              </w:rPr>
              <w:t xml:space="preserve"> шкали оцінювання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і наявність не більше як одного </w:t>
            </w:r>
            <w:r w:rsidR="00742D0A">
              <w:rPr>
                <w:rFonts w:ascii="Times New Roman" w:hAnsi="Times New Roman" w:cs="Times New Roman"/>
                <w:sz w:val="24"/>
                <w:szCs w:val="24"/>
              </w:rPr>
              <w:t>помаранчевого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запрошен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запропонувати шляхи, якими вони згодні підтримати країни, що мають труднощі з виконанням 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>ючового зобов’язання, наприклад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 xml:space="preserve"> колегіальне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>експертне навчання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>, зворотн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>колегіальний</w:t>
            </w:r>
            <w:r w:rsidR="007A1F8C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C">
              <w:rPr>
                <w:rFonts w:ascii="Times New Roman" w:hAnsi="Times New Roman" w:cs="Times New Roman"/>
                <w:sz w:val="24"/>
                <w:szCs w:val="24"/>
              </w:rPr>
              <w:t>експертний огляд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або інші види діяльності, призначені поширити їх приклади успішного </w:t>
            </w:r>
            <w:r w:rsidR="00BC7737" w:rsidRPr="0068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та допомогти іншим у досягненні такого ж стану.</w:t>
            </w:r>
          </w:p>
          <w:p w:rsidR="00BC7737" w:rsidRPr="00300854" w:rsidRDefault="00300854" w:rsidP="003008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Країни,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самоідентифіковані</w:t>
            </w:r>
            <w:proofErr w:type="spellEnd"/>
            <w:r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як такі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r w:rsidR="00BC7737" w:rsidRPr="0030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виконали або </w:t>
            </w:r>
            <w:proofErr w:type="spellStart"/>
            <w:r w:rsidR="00BC7737" w:rsidRPr="00300854">
              <w:rPr>
                <w:rFonts w:ascii="Times New Roman" w:hAnsi="Times New Roman" w:cs="Times New Roman"/>
                <w:b/>
                <w:sz w:val="24"/>
                <w:szCs w:val="24"/>
              </w:rPr>
              <w:t>неуспішно</w:t>
            </w:r>
            <w:proofErr w:type="spellEnd"/>
            <w:r w:rsidR="00BC7737" w:rsidRPr="0030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виконали 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>ключове зобов’язання</w:t>
            </w:r>
            <w:r w:rsidR="00BC7737" w:rsidRPr="00300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(про що свідчить наявність одного чи більше червоних індикаторів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шкали оцінювання</w:t>
            </w:r>
            <w:r w:rsidRPr="0068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та двох або більше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помаранчевих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будуть запрошені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визначити</w:t>
            </w:r>
            <w:r w:rsidR="00A63F1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колегіальна 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експертна підтримка буде корисною, щоб допомогти їм у виконанні цього зобов’язання, і як </w:t>
            </w:r>
            <w:r w:rsidR="00A63F10">
              <w:rPr>
                <w:rFonts w:ascii="Times New Roman" w:hAnsi="Times New Roman" w:cs="Times New Roman"/>
                <w:sz w:val="24"/>
                <w:szCs w:val="24"/>
              </w:rPr>
              <w:t xml:space="preserve">вони 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>збира</w:t>
            </w:r>
            <w:r w:rsidR="00A63F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C7737" w:rsidRPr="00300854">
              <w:rPr>
                <w:rFonts w:ascii="Times New Roman" w:hAnsi="Times New Roman" w:cs="Times New Roman"/>
                <w:sz w:val="24"/>
                <w:szCs w:val="24"/>
              </w:rPr>
              <w:t>ться використати цю підтримку.</w:t>
            </w:r>
          </w:p>
          <w:p w:rsidR="00BC7737" w:rsidRPr="00D94E11" w:rsidRDefault="00BC7737" w:rsidP="00A63F1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Очікується, що кожна країна приєднається принаймні до одної експертної групи.</w:t>
            </w:r>
          </w:p>
          <w:p w:rsidR="00BC7737" w:rsidRPr="00D94E11" w:rsidRDefault="00BC7737" w:rsidP="002E0F4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Оскільки мож</w:t>
            </w:r>
            <w:r w:rsidR="008A6B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стик</w:t>
            </w:r>
            <w:r w:rsidR="008A6B94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ися з 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викликами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у виконанні одного або двох ключових зобов’язань, водночас успішно виконуючи інш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, країни можуть 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визначити необхідність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експертн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підтрим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>деяких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галузях</w:t>
            </w:r>
            <w:r w:rsidR="00235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водночас запропонувати свою</w:t>
            </w:r>
            <w:r w:rsidR="00A01893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підтримку в інших, якщо це доцільно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737" w:rsidRPr="00273761" w:rsidRDefault="00273761" w:rsidP="00914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37" w:rsidRPr="0027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Відгук: 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Делегат BFUG надсилає відповідь Групі з координації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Болонського процесу,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 xml:space="preserve">визначаючи, якими є 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цілі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 xml:space="preserve">країною 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з огляду на ключові зобов’язання, і номінує представників до експертних груп у тих галузях, де країні потрібна підтримка, або, відповідно, де вона може запропонувати підтримку. Представниками повинні бути особи, відповідальні за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певне ключове зобов’язання, а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делегатам BFUG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переконливо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рекомендується залучати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стейкхолдерів, які можуть запропонувати </w:t>
            </w:r>
            <w:r w:rsidR="005A04A2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колегіальну 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експертну підтримку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консультування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стати реципієнтами </w:t>
            </w:r>
            <w:r w:rsidR="005A04A2">
              <w:rPr>
                <w:rFonts w:ascii="Times New Roman" w:hAnsi="Times New Roman" w:cs="Times New Roman"/>
                <w:sz w:val="24"/>
                <w:szCs w:val="24"/>
              </w:rPr>
              <w:t>такої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або консультування у </w:t>
            </w:r>
            <w:r w:rsidR="007A359D">
              <w:rPr>
                <w:rFonts w:ascii="Times New Roman" w:hAnsi="Times New Roman" w:cs="Times New Roman"/>
                <w:sz w:val="24"/>
                <w:szCs w:val="24"/>
              </w:rPr>
              <w:t>певній</w:t>
            </w:r>
            <w:r w:rsidR="00BC7737" w:rsidRPr="00273761">
              <w:rPr>
                <w:rFonts w:ascii="Times New Roman" w:hAnsi="Times New Roman" w:cs="Times New Roman"/>
                <w:sz w:val="24"/>
                <w:szCs w:val="24"/>
              </w:rPr>
              <w:t xml:space="preserve"> галузі. В експертних групах вони зможуть отримати пораду щодо того, як досягнути цих цілей.</w:t>
            </w:r>
          </w:p>
          <w:p w:rsidR="00BC7737" w:rsidRPr="007766D3" w:rsidRDefault="007766D3" w:rsidP="005A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C30">
              <w:rPr>
                <w:rFonts w:ascii="Times New Roman" w:hAnsi="Times New Roman" w:cs="Times New Roman"/>
                <w:b/>
                <w:sz w:val="24"/>
                <w:szCs w:val="24"/>
              </w:rPr>
              <w:t>Колегіальна е</w:t>
            </w:r>
            <w:r w:rsidR="00BC7737" w:rsidRPr="0077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кспертна підтримка: 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>У цей момент поч</w:t>
            </w:r>
            <w:r w:rsidR="00C43179">
              <w:rPr>
                <w:rFonts w:ascii="Times New Roman" w:hAnsi="Times New Roman" w:cs="Times New Roman"/>
                <w:sz w:val="24"/>
                <w:szCs w:val="24"/>
              </w:rPr>
              <w:t>инатиметься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4A2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колегіальна 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експертна підтримка. Група з координації </w:t>
            </w:r>
            <w:r w:rsidR="00C43179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Болонського процесу сприяє </w:t>
            </w:r>
            <w:r w:rsidR="00C43179">
              <w:rPr>
                <w:rFonts w:ascii="Times New Roman" w:hAnsi="Times New Roman" w:cs="Times New Roman"/>
                <w:sz w:val="24"/>
                <w:szCs w:val="24"/>
              </w:rPr>
              <w:t>групуванню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країн, що пропонують </w:t>
            </w:r>
            <w:r w:rsidR="00C43179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колегіальну 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експертну підтримку, та тих, що бажають скористатися такою підтримкою, у тематичні експертні групи. Кожна експертна група буде присвячена підтримці </w:t>
            </w:r>
            <w:r w:rsidR="00EF3AF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ключового зобов’язання Болонського процесу. До цих експертних груп увійдуть як країни, що у достатній мірі реалізували </w:t>
            </w:r>
            <w:r w:rsidR="008274C4">
              <w:rPr>
                <w:rFonts w:ascii="Times New Roman" w:hAnsi="Times New Roman" w:cs="Times New Roman"/>
                <w:sz w:val="24"/>
                <w:szCs w:val="24"/>
              </w:rPr>
              <w:t>певне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ключове зобов’язання, так і країни, що долають </w:t>
            </w:r>
            <w:r w:rsidR="008274C4">
              <w:rPr>
                <w:rFonts w:ascii="Times New Roman" w:hAnsi="Times New Roman" w:cs="Times New Roman"/>
                <w:sz w:val="24"/>
                <w:szCs w:val="24"/>
              </w:rPr>
              <w:t>виклики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4C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 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вирішити для </w:t>
            </w:r>
            <w:r w:rsidR="008274C4">
              <w:rPr>
                <w:rFonts w:ascii="Times New Roman" w:hAnsi="Times New Roman" w:cs="Times New Roman"/>
                <w:sz w:val="24"/>
                <w:szCs w:val="24"/>
              </w:rPr>
              <w:t xml:space="preserve">його 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>повної реалізації.</w:t>
            </w:r>
            <w:r w:rsidR="0082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цілей, </w:t>
            </w:r>
            <w:r w:rsidR="001E323E">
              <w:rPr>
                <w:rFonts w:ascii="Times New Roman" w:hAnsi="Times New Roman" w:cs="Times New Roman"/>
                <w:sz w:val="24"/>
                <w:szCs w:val="24"/>
              </w:rPr>
              <w:t>ідентифікованих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у Кроці 3, кожна експертна група розробляє власний план дій із визначеними </w:t>
            </w:r>
            <w:r w:rsidR="001E323E">
              <w:rPr>
                <w:rFonts w:ascii="Times New Roman" w:hAnsi="Times New Roman" w:cs="Times New Roman"/>
                <w:sz w:val="24"/>
                <w:szCs w:val="24"/>
              </w:rPr>
              <w:t>заходами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1E323E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для кожної зацікавленої країни, включаючи очікуване залучення </w:t>
            </w:r>
            <w:r w:rsidR="001E323E"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BC7737" w:rsidRPr="007766D3">
              <w:rPr>
                <w:rFonts w:ascii="Times New Roman" w:hAnsi="Times New Roman" w:cs="Times New Roman"/>
                <w:sz w:val="24"/>
                <w:szCs w:val="24"/>
              </w:rPr>
              <w:t xml:space="preserve"> стейкхолдерів.</w:t>
            </w:r>
          </w:p>
          <w:p w:rsidR="00BC7737" w:rsidRPr="000F4C30" w:rsidRDefault="000F4C30" w:rsidP="00B40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49F">
              <w:rPr>
                <w:rFonts w:ascii="Times New Roman" w:hAnsi="Times New Roman" w:cs="Times New Roman"/>
                <w:b/>
                <w:sz w:val="24"/>
                <w:szCs w:val="24"/>
              </w:rPr>
              <w:t>Звіт щодо модернізації</w:t>
            </w:r>
            <w:r w:rsidR="00BC7737" w:rsidRPr="000F4C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 Кожна експертна група подає Групі з координації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Болонського процесу </w:t>
            </w:r>
            <w:r w:rsidR="00896A18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щорічний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>огляд змін</w:t>
            </w:r>
            <w:r w:rsidR="00896A18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щодо того, як країни, що співпрацюють у цій групі, використали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колегіальну 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експертну підтримку для покращення або підтримки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302A">
              <w:rPr>
                <w:rFonts w:ascii="Times New Roman" w:hAnsi="Times New Roman" w:cs="Times New Roman"/>
                <w:sz w:val="24"/>
                <w:szCs w:val="24"/>
              </w:rPr>
              <w:t xml:space="preserve"> свою чергу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 Група з координації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 Болонського процесу </w:t>
            </w:r>
            <w:r w:rsidR="00CC6D5F">
              <w:rPr>
                <w:rFonts w:ascii="Times New Roman" w:hAnsi="Times New Roman" w:cs="Times New Roman"/>
                <w:sz w:val="24"/>
                <w:szCs w:val="24"/>
              </w:rPr>
              <w:t>розробляє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18">
              <w:rPr>
                <w:rFonts w:ascii="Times New Roman" w:hAnsi="Times New Roman" w:cs="Times New Roman"/>
                <w:sz w:val="24"/>
                <w:szCs w:val="24"/>
              </w:rPr>
              <w:t>зведений</w:t>
            </w:r>
            <w:r w:rsidR="00BC7737" w:rsidRPr="000F4C30">
              <w:rPr>
                <w:rFonts w:ascii="Times New Roman" w:hAnsi="Times New Roman" w:cs="Times New Roman"/>
                <w:sz w:val="24"/>
                <w:szCs w:val="24"/>
              </w:rPr>
              <w:t xml:space="preserve"> звіт для BFUG.</w:t>
            </w:r>
          </w:p>
          <w:p w:rsidR="00E574D9" w:rsidRDefault="00B6512A" w:rsidP="00E57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37" w:rsidRPr="00466442">
              <w:rPr>
                <w:rFonts w:ascii="Times New Roman" w:hAnsi="Times New Roman" w:cs="Times New Roman"/>
                <w:b/>
                <w:sz w:val="24"/>
                <w:szCs w:val="24"/>
              </w:rPr>
              <w:t>Дані: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C7737" w:rsidRPr="00466442">
              <w:rPr>
                <w:rFonts w:ascii="Times New Roman" w:hAnsi="Times New Roman" w:cs="Times New Roman"/>
                <w:sz w:val="24"/>
                <w:szCs w:val="24"/>
              </w:rPr>
              <w:t xml:space="preserve">сі країни ЄПВО подають свої дані для наступного звіту 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C7737" w:rsidRPr="0046644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="00BC7737" w:rsidRPr="00466442">
              <w:rPr>
                <w:rFonts w:ascii="Times New Roman" w:hAnsi="Times New Roman" w:cs="Times New Roman"/>
                <w:sz w:val="24"/>
                <w:szCs w:val="24"/>
              </w:rPr>
              <w:t xml:space="preserve">, який позначить початок нового раунду. </w:t>
            </w:r>
          </w:p>
          <w:p w:rsidR="00BC7737" w:rsidRPr="00D94E11" w:rsidRDefault="00BC7737" w:rsidP="00E57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Додатковий звіт з виконання ключов</w:t>
            </w:r>
            <w:r w:rsidR="00545E6B">
              <w:rPr>
                <w:rFonts w:ascii="Times New Roman" w:hAnsi="Times New Roman" w:cs="Times New Roman"/>
                <w:sz w:val="24"/>
                <w:szCs w:val="24"/>
              </w:rPr>
              <w:t xml:space="preserve">их зобов’язань (див. Крок 1)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демонстру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>ватиме поточне виконання у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порівнянні з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рівн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попереднім звітом для всіх країн. Подані плани з виконання окремих ключових зобов’язань будуть висвітлені у додатковому звіті.</w:t>
            </w:r>
          </w:p>
          <w:p w:rsidR="00BC7737" w:rsidRPr="00D94E11" w:rsidRDefault="00BC7737" w:rsidP="00AA7648">
            <w:pPr>
              <w:pStyle w:val="a3"/>
              <w:autoSpaceDE w:val="0"/>
              <w:autoSpaceDN w:val="0"/>
              <w:adjustRightInd w:val="0"/>
              <w:ind w:left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37" w:rsidRPr="00D94E11" w:rsidRDefault="00BC7737" w:rsidP="0066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 для кращого виконання ключових зобов’язань</w:t>
            </w:r>
          </w:p>
          <w:p w:rsidR="00BC7737" w:rsidRPr="00D94E11" w:rsidRDefault="00BC7737" w:rsidP="00471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Звичайний звітний процес </w:t>
            </w:r>
            <w:r w:rsidR="00520B0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запропонована програма підтримки 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єю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діють як стимули для кращого 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: Звіт 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Болонського процесу висвітлює рівні 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, а програма підтримує покращення шляхом цілеспрямованого </w:t>
            </w:r>
            <w:r w:rsidR="00E10663">
              <w:rPr>
                <w:rFonts w:ascii="Times New Roman" w:hAnsi="Times New Roman" w:cs="Times New Roman"/>
                <w:sz w:val="24"/>
                <w:szCs w:val="24"/>
              </w:rPr>
              <w:t xml:space="preserve">колегіального експертного навчання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та підтримки. Крім того, пропонується, щоб країни, які досягли значного прогресу, отримали можливість висвітлити свою роботу </w:t>
            </w:r>
            <w:r w:rsidR="004D54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D54B1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на Міністерській конференції.</w:t>
            </w:r>
          </w:p>
          <w:p w:rsidR="00BC7737" w:rsidRPr="00D94E11" w:rsidRDefault="00BC7737" w:rsidP="00966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У випадку, якщо країна не вдалас</w:t>
            </w:r>
            <w:r w:rsidR="009665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до жодних дій, і за даними, поданими протягом двох раундів, не помітно жодного покращення у </w:t>
            </w:r>
            <w:r w:rsidR="0096653D">
              <w:rPr>
                <w:rFonts w:ascii="Times New Roman" w:hAnsi="Times New Roman" w:cs="Times New Roman"/>
                <w:sz w:val="24"/>
                <w:szCs w:val="24"/>
              </w:rPr>
              <w:t>запровадженні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, відсутність покращення буде доведена до уваги Міністе</w:t>
            </w:r>
            <w:r w:rsidR="0096653D">
              <w:rPr>
                <w:rFonts w:ascii="Times New Roman" w:hAnsi="Times New Roman" w:cs="Times New Roman"/>
                <w:sz w:val="24"/>
                <w:szCs w:val="24"/>
              </w:rPr>
              <w:t xml:space="preserve">рської конференції. Міністрів 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96653D">
              <w:rPr>
                <w:rFonts w:ascii="Times New Roman" w:hAnsi="Times New Roman" w:cs="Times New Roman"/>
                <w:sz w:val="24"/>
                <w:szCs w:val="24"/>
              </w:rPr>
              <w:t>итимуть</w:t>
            </w:r>
            <w:r w:rsidRPr="00D94E11">
              <w:rPr>
                <w:rFonts w:ascii="Times New Roman" w:hAnsi="Times New Roman" w:cs="Times New Roman"/>
                <w:sz w:val="24"/>
                <w:szCs w:val="24"/>
              </w:rPr>
              <w:t xml:space="preserve"> висловити рекомендації щодо подальших дій у кожному окремому випадку.</w:t>
            </w:r>
          </w:p>
        </w:tc>
      </w:tr>
    </w:tbl>
    <w:p w:rsidR="007147DA" w:rsidRPr="00D94E11" w:rsidRDefault="007147DA" w:rsidP="00872C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7DA" w:rsidRPr="00D94E11" w:rsidSect="00AE0C89">
      <w:headerReference w:type="default" r:id="rId17"/>
      <w:footerReference w:type="default" r:id="rId18"/>
      <w:pgSz w:w="11906" w:h="16838"/>
      <w:pgMar w:top="851" w:right="56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C5" w:rsidRDefault="009C20C5" w:rsidP="00AE0C89">
      <w:pPr>
        <w:spacing w:after="0" w:line="240" w:lineRule="auto"/>
      </w:pPr>
      <w:r>
        <w:separator/>
      </w:r>
    </w:p>
  </w:endnote>
  <w:endnote w:type="continuationSeparator" w:id="0">
    <w:p w:rsidR="009C20C5" w:rsidRDefault="009C20C5" w:rsidP="00AE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5C" w:rsidRDefault="00C4305C" w:rsidP="00C4305C">
    <w:pPr>
      <w:pStyle w:val="a6"/>
      <w:jc w:val="center"/>
    </w:pPr>
    <w:r>
      <w:t>Переклад виконано в рамках проекту ЄС «Національний Еразмус+ офіс в Україні»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C5" w:rsidRDefault="009C20C5" w:rsidP="00AE0C89">
      <w:pPr>
        <w:spacing w:after="0" w:line="240" w:lineRule="auto"/>
      </w:pPr>
      <w:r>
        <w:separator/>
      </w:r>
    </w:p>
  </w:footnote>
  <w:footnote w:type="continuationSeparator" w:id="0">
    <w:p w:rsidR="009C20C5" w:rsidRDefault="009C20C5" w:rsidP="00AE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89" w:rsidRDefault="00AE0C89">
    <w:pPr>
      <w:pStyle w:val="a4"/>
    </w:pPr>
    <w:r w:rsidRPr="00AE0C89">
      <w:rPr>
        <w:rFonts w:ascii="Times New Roman" w:hAnsi="Times New Roman" w:cs="Times New Roman"/>
        <w:b/>
        <w:bCs/>
        <w:noProof/>
        <w:sz w:val="24"/>
        <w:szCs w:val="24"/>
        <w:lang w:val="ru-RU" w:eastAsia="ru-RU"/>
      </w:rPr>
      <w:drawing>
        <wp:inline distT="0" distB="0" distL="0" distR="0" wp14:anchorId="6D92C45B" wp14:editId="3283D444">
          <wp:extent cx="6152739" cy="1143000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580" cy="114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439"/>
    <w:multiLevelType w:val="hybridMultilevel"/>
    <w:tmpl w:val="953E07E8"/>
    <w:lvl w:ilvl="0" w:tplc="66FE9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2C9A"/>
    <w:multiLevelType w:val="hybridMultilevel"/>
    <w:tmpl w:val="75360C70"/>
    <w:lvl w:ilvl="0" w:tplc="826CEE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B73"/>
    <w:multiLevelType w:val="hybridMultilevel"/>
    <w:tmpl w:val="E0DAC1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3975"/>
    <w:multiLevelType w:val="hybridMultilevel"/>
    <w:tmpl w:val="DB666DF4"/>
    <w:lvl w:ilvl="0" w:tplc="66FE9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A4745"/>
    <w:multiLevelType w:val="hybridMultilevel"/>
    <w:tmpl w:val="0A62C5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5"/>
    <w:rsid w:val="00006002"/>
    <w:rsid w:val="000206DF"/>
    <w:rsid w:val="000444D1"/>
    <w:rsid w:val="00061C61"/>
    <w:rsid w:val="000C6BF0"/>
    <w:rsid w:val="000F4C30"/>
    <w:rsid w:val="0011315E"/>
    <w:rsid w:val="001512EF"/>
    <w:rsid w:val="0018243F"/>
    <w:rsid w:val="001C48D2"/>
    <w:rsid w:val="001D3F6B"/>
    <w:rsid w:val="001E323E"/>
    <w:rsid w:val="00202E81"/>
    <w:rsid w:val="00221F5C"/>
    <w:rsid w:val="002351AB"/>
    <w:rsid w:val="00242C0A"/>
    <w:rsid w:val="00251F0A"/>
    <w:rsid w:val="00260BE6"/>
    <w:rsid w:val="00261DB3"/>
    <w:rsid w:val="00273761"/>
    <w:rsid w:val="002A556C"/>
    <w:rsid w:val="002B6FFA"/>
    <w:rsid w:val="002C07A5"/>
    <w:rsid w:val="002E0F44"/>
    <w:rsid w:val="002E73F3"/>
    <w:rsid w:val="002F6675"/>
    <w:rsid w:val="00300342"/>
    <w:rsid w:val="00300854"/>
    <w:rsid w:val="00334802"/>
    <w:rsid w:val="00364D65"/>
    <w:rsid w:val="003831D6"/>
    <w:rsid w:val="003B6D84"/>
    <w:rsid w:val="003F1B11"/>
    <w:rsid w:val="003F3592"/>
    <w:rsid w:val="004052BB"/>
    <w:rsid w:val="00466442"/>
    <w:rsid w:val="004719EA"/>
    <w:rsid w:val="00492933"/>
    <w:rsid w:val="004D54B1"/>
    <w:rsid w:val="004D6920"/>
    <w:rsid w:val="004F789E"/>
    <w:rsid w:val="005170B1"/>
    <w:rsid w:val="00520B0F"/>
    <w:rsid w:val="0052153F"/>
    <w:rsid w:val="00525452"/>
    <w:rsid w:val="0053609C"/>
    <w:rsid w:val="00537D2D"/>
    <w:rsid w:val="00545E6B"/>
    <w:rsid w:val="00567E46"/>
    <w:rsid w:val="005767CB"/>
    <w:rsid w:val="00586136"/>
    <w:rsid w:val="005A04A2"/>
    <w:rsid w:val="005A55AE"/>
    <w:rsid w:val="005D25EE"/>
    <w:rsid w:val="005D5C57"/>
    <w:rsid w:val="005E426D"/>
    <w:rsid w:val="0064352A"/>
    <w:rsid w:val="006556BB"/>
    <w:rsid w:val="00661FE7"/>
    <w:rsid w:val="0066367E"/>
    <w:rsid w:val="0066398C"/>
    <w:rsid w:val="006676B4"/>
    <w:rsid w:val="00681C70"/>
    <w:rsid w:val="00682B26"/>
    <w:rsid w:val="006A0F2C"/>
    <w:rsid w:val="007030D4"/>
    <w:rsid w:val="007147DA"/>
    <w:rsid w:val="00742AB6"/>
    <w:rsid w:val="00742D0A"/>
    <w:rsid w:val="007766D3"/>
    <w:rsid w:val="007A1F8C"/>
    <w:rsid w:val="007A359D"/>
    <w:rsid w:val="007A549F"/>
    <w:rsid w:val="007D384B"/>
    <w:rsid w:val="007E115C"/>
    <w:rsid w:val="008064D6"/>
    <w:rsid w:val="0082143E"/>
    <w:rsid w:val="008214BF"/>
    <w:rsid w:val="008274C4"/>
    <w:rsid w:val="00836270"/>
    <w:rsid w:val="00872C9C"/>
    <w:rsid w:val="00896A18"/>
    <w:rsid w:val="008A6B94"/>
    <w:rsid w:val="008B093C"/>
    <w:rsid w:val="008D076C"/>
    <w:rsid w:val="008D5E67"/>
    <w:rsid w:val="00900E9A"/>
    <w:rsid w:val="0091484E"/>
    <w:rsid w:val="0096653D"/>
    <w:rsid w:val="009B1B88"/>
    <w:rsid w:val="009C20C5"/>
    <w:rsid w:val="009C3666"/>
    <w:rsid w:val="009C4693"/>
    <w:rsid w:val="00A01893"/>
    <w:rsid w:val="00A63F10"/>
    <w:rsid w:val="00A7302A"/>
    <w:rsid w:val="00AA7648"/>
    <w:rsid w:val="00AE0C89"/>
    <w:rsid w:val="00AE2C7A"/>
    <w:rsid w:val="00AF66DE"/>
    <w:rsid w:val="00B408E2"/>
    <w:rsid w:val="00B6512A"/>
    <w:rsid w:val="00B775F3"/>
    <w:rsid w:val="00BC7737"/>
    <w:rsid w:val="00C4305C"/>
    <w:rsid w:val="00C43179"/>
    <w:rsid w:val="00C74914"/>
    <w:rsid w:val="00CA5988"/>
    <w:rsid w:val="00CC6D5F"/>
    <w:rsid w:val="00CE7290"/>
    <w:rsid w:val="00D05D47"/>
    <w:rsid w:val="00D15B53"/>
    <w:rsid w:val="00D34D60"/>
    <w:rsid w:val="00D46119"/>
    <w:rsid w:val="00D87053"/>
    <w:rsid w:val="00D94E11"/>
    <w:rsid w:val="00D94F58"/>
    <w:rsid w:val="00DD5D8B"/>
    <w:rsid w:val="00DD63A6"/>
    <w:rsid w:val="00E10663"/>
    <w:rsid w:val="00E24AC6"/>
    <w:rsid w:val="00E46E59"/>
    <w:rsid w:val="00E574D9"/>
    <w:rsid w:val="00E65882"/>
    <w:rsid w:val="00EA6301"/>
    <w:rsid w:val="00EC4D0A"/>
    <w:rsid w:val="00ED3562"/>
    <w:rsid w:val="00ED42C6"/>
    <w:rsid w:val="00ED7ABF"/>
    <w:rsid w:val="00EF3AF6"/>
    <w:rsid w:val="00F20B73"/>
    <w:rsid w:val="00F22DC0"/>
    <w:rsid w:val="00F53475"/>
    <w:rsid w:val="00F54818"/>
    <w:rsid w:val="00F67E6D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7375"/>
  <w15:chartTrackingRefBased/>
  <w15:docId w15:val="{EA25F991-531D-4E94-810A-CD98DE1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89"/>
  </w:style>
  <w:style w:type="paragraph" w:styleId="a6">
    <w:name w:val="footer"/>
    <w:basedOn w:val="a"/>
    <w:link w:val="a7"/>
    <w:uiPriority w:val="99"/>
    <w:unhideWhenUsed/>
    <w:rsid w:val="00AE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89"/>
  </w:style>
  <w:style w:type="table" w:styleId="a8">
    <w:name w:val="Table Grid"/>
    <w:basedOn w:val="a1"/>
    <w:uiPriority w:val="39"/>
    <w:rsid w:val="0011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2827B-B0EC-4041-9573-BD64951A37E3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9F02F2A-14DD-4260-84B4-20CB1529DAFF}">
      <dgm:prSet phldrT="[Текст]"/>
      <dgm:spPr/>
      <dgm:t>
        <a:bodyPr/>
        <a:lstStyle/>
        <a:p>
          <a:r>
            <a:rPr lang="ru-RU" b="1"/>
            <a:t>1. </a:t>
          </a:r>
          <a:r>
            <a:rPr lang="en-GB" b="1"/>
            <a:t>Survey</a:t>
          </a:r>
          <a:endParaRPr lang="uk-UA" b="1"/>
        </a:p>
      </dgm:t>
    </dgm:pt>
    <dgm:pt modelId="{27A06C1D-6DAC-4ABB-B795-234BD5982898}" type="parTrans" cxnId="{6BDE39FB-0EC1-414B-A41C-942D58A88672}">
      <dgm:prSet/>
      <dgm:spPr/>
      <dgm:t>
        <a:bodyPr/>
        <a:lstStyle/>
        <a:p>
          <a:endParaRPr lang="uk-UA"/>
        </a:p>
      </dgm:t>
    </dgm:pt>
    <dgm:pt modelId="{3F06D58D-4CA4-4320-BB43-B8B00BEFDE08}" type="sibTrans" cxnId="{6BDE39FB-0EC1-414B-A41C-942D58A88672}">
      <dgm:prSet/>
      <dgm:spPr/>
      <dgm:t>
        <a:bodyPr/>
        <a:lstStyle/>
        <a:p>
          <a:endParaRPr lang="uk-UA"/>
        </a:p>
      </dgm:t>
    </dgm:pt>
    <dgm:pt modelId="{F1F08BFF-54D2-4B58-BE8F-A38B99A76551}">
      <dgm:prSet phldrT="[Текст]"/>
      <dgm:spPr/>
      <dgm:t>
        <a:bodyPr/>
        <a:lstStyle/>
        <a:p>
          <a:r>
            <a:rPr lang="ru-RU" b="1"/>
            <a:t>2. </a:t>
          </a:r>
          <a:r>
            <a:rPr lang="en-GB" b="1"/>
            <a:t>Invite</a:t>
          </a:r>
          <a:endParaRPr lang="uk-UA" b="1"/>
        </a:p>
      </dgm:t>
    </dgm:pt>
    <dgm:pt modelId="{6CF97B50-5CC8-47E8-A30B-E5DDCF65ABF5}" type="parTrans" cxnId="{4BE0F7E5-F9E2-40EB-BDC7-7CF80E3C4AF6}">
      <dgm:prSet/>
      <dgm:spPr/>
      <dgm:t>
        <a:bodyPr/>
        <a:lstStyle/>
        <a:p>
          <a:endParaRPr lang="uk-UA"/>
        </a:p>
      </dgm:t>
    </dgm:pt>
    <dgm:pt modelId="{9BE94A7D-FFAA-4097-8004-49451F5AF162}" type="sibTrans" cxnId="{4BE0F7E5-F9E2-40EB-BDC7-7CF80E3C4AF6}">
      <dgm:prSet/>
      <dgm:spPr/>
      <dgm:t>
        <a:bodyPr/>
        <a:lstStyle/>
        <a:p>
          <a:endParaRPr lang="uk-UA"/>
        </a:p>
      </dgm:t>
    </dgm:pt>
    <dgm:pt modelId="{93C8A442-E5C4-4175-A725-37B66849FB87}">
      <dgm:prSet phldrT="[Текст]"/>
      <dgm:spPr/>
      <dgm:t>
        <a:bodyPr/>
        <a:lstStyle/>
        <a:p>
          <a:r>
            <a:rPr lang="uk-UA" b="1"/>
            <a:t>3. </a:t>
          </a:r>
          <a:r>
            <a:rPr lang="en-GB" b="1"/>
            <a:t>Response</a:t>
          </a:r>
          <a:endParaRPr lang="uk-UA" b="1"/>
        </a:p>
      </dgm:t>
    </dgm:pt>
    <dgm:pt modelId="{44BD0517-9964-4295-9895-3DA0498FA990}" type="parTrans" cxnId="{ACF58D99-317A-4BB0-8B96-2DFAFA4B6F70}">
      <dgm:prSet/>
      <dgm:spPr/>
      <dgm:t>
        <a:bodyPr/>
        <a:lstStyle/>
        <a:p>
          <a:endParaRPr lang="uk-UA"/>
        </a:p>
      </dgm:t>
    </dgm:pt>
    <dgm:pt modelId="{93188900-0E87-4C23-BC24-3FC2A5BCA78A}" type="sibTrans" cxnId="{ACF58D99-317A-4BB0-8B96-2DFAFA4B6F70}">
      <dgm:prSet/>
      <dgm:spPr/>
      <dgm:t>
        <a:bodyPr/>
        <a:lstStyle/>
        <a:p>
          <a:endParaRPr lang="uk-UA"/>
        </a:p>
      </dgm:t>
    </dgm:pt>
    <dgm:pt modelId="{7ECFB812-4A99-4077-A09A-4AEDF9857A76}">
      <dgm:prSet phldrT="[Текст]"/>
      <dgm:spPr/>
      <dgm:t>
        <a:bodyPr/>
        <a:lstStyle/>
        <a:p>
          <a:r>
            <a:rPr lang="ru-RU" b="1"/>
            <a:t>4. </a:t>
          </a:r>
        </a:p>
        <a:p>
          <a:r>
            <a:rPr lang="en-GB" b="1"/>
            <a:t>Peer-­</a:t>
          </a:r>
          <a:endParaRPr lang="ru-RU" b="1"/>
        </a:p>
        <a:p>
          <a:r>
            <a:rPr lang="en-GB" b="1"/>
            <a:t>support</a:t>
          </a:r>
          <a:endParaRPr lang="uk-UA" b="1"/>
        </a:p>
      </dgm:t>
    </dgm:pt>
    <dgm:pt modelId="{352B5B00-078F-4BE3-B72D-1D8C8EBE4929}" type="parTrans" cxnId="{BF85F8C2-6C5D-4E5E-8DC3-DE898FC38E48}">
      <dgm:prSet/>
      <dgm:spPr/>
      <dgm:t>
        <a:bodyPr/>
        <a:lstStyle/>
        <a:p>
          <a:endParaRPr lang="ru-RU"/>
        </a:p>
      </dgm:t>
    </dgm:pt>
    <dgm:pt modelId="{9045F1F0-C449-4DA0-B233-8E1E236A1226}" type="sibTrans" cxnId="{BF85F8C2-6C5D-4E5E-8DC3-DE898FC38E48}">
      <dgm:prSet/>
      <dgm:spPr/>
      <dgm:t>
        <a:bodyPr/>
        <a:lstStyle/>
        <a:p>
          <a:endParaRPr lang="ru-RU"/>
        </a:p>
      </dgm:t>
    </dgm:pt>
    <dgm:pt modelId="{1A382528-0B61-45C8-969A-101599DC83E9}">
      <dgm:prSet phldrT="[Текст]"/>
      <dgm:spPr/>
      <dgm:t>
        <a:bodyPr/>
        <a:lstStyle/>
        <a:p>
          <a:r>
            <a:rPr lang="uk-UA" b="1"/>
            <a:t>5. </a:t>
          </a:r>
          <a:r>
            <a:rPr lang="en-GB" b="1"/>
            <a:t>Update</a:t>
          </a:r>
          <a:endParaRPr lang="uk-UA" b="1"/>
        </a:p>
      </dgm:t>
    </dgm:pt>
    <dgm:pt modelId="{E087ED26-CD6D-40FF-843F-874B1B4212AE}" type="parTrans" cxnId="{B260D87C-A219-4917-932F-16C428CC73A1}">
      <dgm:prSet/>
      <dgm:spPr/>
      <dgm:t>
        <a:bodyPr/>
        <a:lstStyle/>
        <a:p>
          <a:endParaRPr lang="ru-RU"/>
        </a:p>
      </dgm:t>
    </dgm:pt>
    <dgm:pt modelId="{04F04793-7435-4107-8075-63FF71C3A03D}" type="sibTrans" cxnId="{B260D87C-A219-4917-932F-16C428CC73A1}">
      <dgm:prSet/>
      <dgm:spPr/>
      <dgm:t>
        <a:bodyPr/>
        <a:lstStyle/>
        <a:p>
          <a:endParaRPr lang="ru-RU"/>
        </a:p>
      </dgm:t>
    </dgm:pt>
    <dgm:pt modelId="{7CC28FE4-DEB2-4AE6-B81B-4AC9FBB29414}">
      <dgm:prSet phldrT="[Текст]"/>
      <dgm:spPr/>
      <dgm:t>
        <a:bodyPr/>
        <a:lstStyle/>
        <a:p>
          <a:r>
            <a:rPr lang="uk-UA" b="1"/>
            <a:t>6. </a:t>
          </a:r>
          <a:r>
            <a:rPr lang="en-GB" b="1"/>
            <a:t>Data</a:t>
          </a:r>
          <a:endParaRPr lang="uk-UA" b="1"/>
        </a:p>
      </dgm:t>
    </dgm:pt>
    <dgm:pt modelId="{27C62C42-026D-47B0-AA84-0E298A8CAADD}" type="parTrans" cxnId="{54315B0C-45E9-43F6-9944-A6D0DBB721E6}">
      <dgm:prSet/>
      <dgm:spPr/>
      <dgm:t>
        <a:bodyPr/>
        <a:lstStyle/>
        <a:p>
          <a:endParaRPr lang="ru-RU"/>
        </a:p>
      </dgm:t>
    </dgm:pt>
    <dgm:pt modelId="{B0993C75-39CB-434A-953D-8F77CAF328C3}" type="sibTrans" cxnId="{54315B0C-45E9-43F6-9944-A6D0DBB721E6}">
      <dgm:prSet/>
      <dgm:spPr/>
      <dgm:t>
        <a:bodyPr/>
        <a:lstStyle/>
        <a:p>
          <a:endParaRPr lang="ru-RU"/>
        </a:p>
      </dgm:t>
    </dgm:pt>
    <dgm:pt modelId="{2B284C75-F2EE-4FE2-8885-BFECD73835ED}" type="pres">
      <dgm:prSet presAssocID="{3792827B-B0EC-4041-9573-BD64951A37E3}" presName="compositeShape" presStyleCnt="0">
        <dgm:presLayoutVars>
          <dgm:chMax val="7"/>
          <dgm:dir/>
          <dgm:resizeHandles val="exact"/>
        </dgm:presLayoutVars>
      </dgm:prSet>
      <dgm:spPr/>
    </dgm:pt>
    <dgm:pt modelId="{41059C4E-82A7-4536-9F7C-71CE3749A965}" type="pres">
      <dgm:prSet presAssocID="{3792827B-B0EC-4041-9573-BD64951A37E3}" presName="wedge1" presStyleLbl="node1" presStyleIdx="0" presStyleCnt="6"/>
      <dgm:spPr/>
      <dgm:t>
        <a:bodyPr/>
        <a:lstStyle/>
        <a:p>
          <a:endParaRPr lang="uk-UA"/>
        </a:p>
      </dgm:t>
    </dgm:pt>
    <dgm:pt modelId="{BB1310E1-EA01-4155-9205-6603A2F5229C}" type="pres">
      <dgm:prSet presAssocID="{3792827B-B0EC-4041-9573-BD64951A37E3}" presName="dummy1a" presStyleCnt="0"/>
      <dgm:spPr/>
    </dgm:pt>
    <dgm:pt modelId="{CB6F5DDA-F29E-49FC-87ED-2F0D5BFA14BC}" type="pres">
      <dgm:prSet presAssocID="{3792827B-B0EC-4041-9573-BD64951A37E3}" presName="dummy1b" presStyleCnt="0"/>
      <dgm:spPr/>
    </dgm:pt>
    <dgm:pt modelId="{C12260A4-85B9-45DB-8381-109933D131E7}" type="pres">
      <dgm:prSet presAssocID="{3792827B-B0EC-4041-9573-BD64951A37E3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C203EB2-A923-4707-BCD6-0E678BC7A624}" type="pres">
      <dgm:prSet presAssocID="{3792827B-B0EC-4041-9573-BD64951A37E3}" presName="wedge2" presStyleLbl="node1" presStyleIdx="1" presStyleCnt="6"/>
      <dgm:spPr/>
      <dgm:t>
        <a:bodyPr/>
        <a:lstStyle/>
        <a:p>
          <a:endParaRPr lang="uk-UA"/>
        </a:p>
      </dgm:t>
    </dgm:pt>
    <dgm:pt modelId="{B600F7D5-02E8-4B82-88AE-1617F276A48C}" type="pres">
      <dgm:prSet presAssocID="{3792827B-B0EC-4041-9573-BD64951A37E3}" presName="dummy2a" presStyleCnt="0"/>
      <dgm:spPr/>
    </dgm:pt>
    <dgm:pt modelId="{0379AD3C-150E-4CFF-B0CC-769A73D6E57C}" type="pres">
      <dgm:prSet presAssocID="{3792827B-B0EC-4041-9573-BD64951A37E3}" presName="dummy2b" presStyleCnt="0"/>
      <dgm:spPr/>
    </dgm:pt>
    <dgm:pt modelId="{8E271953-6EF4-4A61-ADB6-B8A7BA757648}" type="pres">
      <dgm:prSet presAssocID="{3792827B-B0EC-4041-9573-BD64951A37E3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73DA6CA-5F3F-438C-8A23-EE86605D525F}" type="pres">
      <dgm:prSet presAssocID="{3792827B-B0EC-4041-9573-BD64951A37E3}" presName="wedge3" presStyleLbl="node1" presStyleIdx="2" presStyleCnt="6"/>
      <dgm:spPr/>
      <dgm:t>
        <a:bodyPr/>
        <a:lstStyle/>
        <a:p>
          <a:endParaRPr lang="uk-UA"/>
        </a:p>
      </dgm:t>
    </dgm:pt>
    <dgm:pt modelId="{B2EE5343-3AD1-4164-BFDC-8317BF32CB6B}" type="pres">
      <dgm:prSet presAssocID="{3792827B-B0EC-4041-9573-BD64951A37E3}" presName="dummy3a" presStyleCnt="0"/>
      <dgm:spPr/>
    </dgm:pt>
    <dgm:pt modelId="{BB3B16DB-4F46-4B0F-9A33-D815254EE9C4}" type="pres">
      <dgm:prSet presAssocID="{3792827B-B0EC-4041-9573-BD64951A37E3}" presName="dummy3b" presStyleCnt="0"/>
      <dgm:spPr/>
    </dgm:pt>
    <dgm:pt modelId="{C4C7A7CA-B3A5-4572-B0AB-589E65AFD522}" type="pres">
      <dgm:prSet presAssocID="{3792827B-B0EC-4041-9573-BD64951A37E3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82F6762-E426-4654-93A3-4DB174ACEC57}" type="pres">
      <dgm:prSet presAssocID="{3792827B-B0EC-4041-9573-BD64951A37E3}" presName="wedge4" presStyleLbl="node1" presStyleIdx="3" presStyleCnt="6"/>
      <dgm:spPr/>
      <dgm:t>
        <a:bodyPr/>
        <a:lstStyle/>
        <a:p>
          <a:endParaRPr lang="uk-UA"/>
        </a:p>
      </dgm:t>
    </dgm:pt>
    <dgm:pt modelId="{E61708E1-124F-456A-A51C-98012B6B1477}" type="pres">
      <dgm:prSet presAssocID="{3792827B-B0EC-4041-9573-BD64951A37E3}" presName="dummy4a" presStyleCnt="0"/>
      <dgm:spPr/>
    </dgm:pt>
    <dgm:pt modelId="{EA43A72D-9DAB-4992-8464-CD104591EC13}" type="pres">
      <dgm:prSet presAssocID="{3792827B-B0EC-4041-9573-BD64951A37E3}" presName="dummy4b" presStyleCnt="0"/>
      <dgm:spPr/>
    </dgm:pt>
    <dgm:pt modelId="{22F06601-09FB-400C-BB9C-923282F536AC}" type="pres">
      <dgm:prSet presAssocID="{3792827B-B0EC-4041-9573-BD64951A37E3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5105506-83F4-4C4D-91CC-25B8B91600B1}" type="pres">
      <dgm:prSet presAssocID="{3792827B-B0EC-4041-9573-BD64951A37E3}" presName="wedge5" presStyleLbl="node1" presStyleIdx="4" presStyleCnt="6"/>
      <dgm:spPr/>
      <dgm:t>
        <a:bodyPr/>
        <a:lstStyle/>
        <a:p>
          <a:endParaRPr lang="uk-UA"/>
        </a:p>
      </dgm:t>
    </dgm:pt>
    <dgm:pt modelId="{A3994ED4-D23F-43E3-B606-DDEF944F6210}" type="pres">
      <dgm:prSet presAssocID="{3792827B-B0EC-4041-9573-BD64951A37E3}" presName="dummy5a" presStyleCnt="0"/>
      <dgm:spPr/>
    </dgm:pt>
    <dgm:pt modelId="{F3CD42B2-E760-41D8-8C04-05CE5C84B1C8}" type="pres">
      <dgm:prSet presAssocID="{3792827B-B0EC-4041-9573-BD64951A37E3}" presName="dummy5b" presStyleCnt="0"/>
      <dgm:spPr/>
    </dgm:pt>
    <dgm:pt modelId="{79B0F783-E0A1-4AA3-923F-FD8029F9283C}" type="pres">
      <dgm:prSet presAssocID="{3792827B-B0EC-4041-9573-BD64951A37E3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7D8570A-AF87-4A6C-8ACD-712BAAAADD2E}" type="pres">
      <dgm:prSet presAssocID="{3792827B-B0EC-4041-9573-BD64951A37E3}" presName="wedge6" presStyleLbl="node1" presStyleIdx="5" presStyleCnt="6"/>
      <dgm:spPr/>
      <dgm:t>
        <a:bodyPr/>
        <a:lstStyle/>
        <a:p>
          <a:endParaRPr lang="uk-UA"/>
        </a:p>
      </dgm:t>
    </dgm:pt>
    <dgm:pt modelId="{CD3D4615-AED7-4C76-B962-66367E04B9FA}" type="pres">
      <dgm:prSet presAssocID="{3792827B-B0EC-4041-9573-BD64951A37E3}" presName="dummy6a" presStyleCnt="0"/>
      <dgm:spPr/>
    </dgm:pt>
    <dgm:pt modelId="{E1C9CDD5-2B77-4E2A-B5E7-815C774C1C05}" type="pres">
      <dgm:prSet presAssocID="{3792827B-B0EC-4041-9573-BD64951A37E3}" presName="dummy6b" presStyleCnt="0"/>
      <dgm:spPr/>
    </dgm:pt>
    <dgm:pt modelId="{C6DA6DD9-4743-4C8C-8B07-C06FF31B7D1E}" type="pres">
      <dgm:prSet presAssocID="{3792827B-B0EC-4041-9573-BD64951A37E3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6FC012F-349A-4D1A-B27C-2FB162830471}" type="pres">
      <dgm:prSet presAssocID="{3F06D58D-4CA4-4320-BB43-B8B00BEFDE08}" presName="arrowWedge1" presStyleLbl="fgSibTrans2D1" presStyleIdx="0" presStyleCnt="6"/>
      <dgm:spPr/>
    </dgm:pt>
    <dgm:pt modelId="{D1622802-4E1C-4A31-91BE-3EF6BC82E217}" type="pres">
      <dgm:prSet presAssocID="{9BE94A7D-FFAA-4097-8004-49451F5AF162}" presName="arrowWedge2" presStyleLbl="fgSibTrans2D1" presStyleIdx="1" presStyleCnt="6"/>
      <dgm:spPr/>
    </dgm:pt>
    <dgm:pt modelId="{96F625C4-C59E-4A3E-83C2-888CC15BD3C4}" type="pres">
      <dgm:prSet presAssocID="{93188900-0E87-4C23-BC24-3FC2A5BCA78A}" presName="arrowWedge3" presStyleLbl="fgSibTrans2D1" presStyleIdx="2" presStyleCnt="6"/>
      <dgm:spPr/>
    </dgm:pt>
    <dgm:pt modelId="{27CCC940-6552-4910-8678-16BDF0CBE2B4}" type="pres">
      <dgm:prSet presAssocID="{9045F1F0-C449-4DA0-B233-8E1E236A1226}" presName="arrowWedge4" presStyleLbl="fgSibTrans2D1" presStyleIdx="3" presStyleCnt="6"/>
      <dgm:spPr/>
    </dgm:pt>
    <dgm:pt modelId="{E97BE6B5-2CD6-431C-A327-F588EAB3388C}" type="pres">
      <dgm:prSet presAssocID="{04F04793-7435-4107-8075-63FF71C3A03D}" presName="arrowWedge5" presStyleLbl="fgSibTrans2D1" presStyleIdx="4" presStyleCnt="6"/>
      <dgm:spPr/>
    </dgm:pt>
    <dgm:pt modelId="{687EA0E1-F232-45C0-B446-1564127739EB}" type="pres">
      <dgm:prSet presAssocID="{B0993C75-39CB-434A-953D-8F77CAF328C3}" presName="arrowWedge6" presStyleLbl="fgSibTrans2D1" presStyleIdx="5" presStyleCnt="6"/>
      <dgm:spPr/>
    </dgm:pt>
  </dgm:ptLst>
  <dgm:cxnLst>
    <dgm:cxn modelId="{B260D87C-A219-4917-932F-16C428CC73A1}" srcId="{3792827B-B0EC-4041-9573-BD64951A37E3}" destId="{1A382528-0B61-45C8-969A-101599DC83E9}" srcOrd="4" destOrd="0" parTransId="{E087ED26-CD6D-40FF-843F-874B1B4212AE}" sibTransId="{04F04793-7435-4107-8075-63FF71C3A03D}"/>
    <dgm:cxn modelId="{E6E1AE5A-D0AB-4B8A-92AD-74C8FE6BA086}" type="presOf" srcId="{29F02F2A-14DD-4260-84B4-20CB1529DAFF}" destId="{C12260A4-85B9-45DB-8381-109933D131E7}" srcOrd="1" destOrd="0" presId="urn:microsoft.com/office/officeart/2005/8/layout/cycle8"/>
    <dgm:cxn modelId="{9B1A4AB9-9A69-43D3-B123-BEDB118C1F91}" type="presOf" srcId="{F1F08BFF-54D2-4B58-BE8F-A38B99A76551}" destId="{8E271953-6EF4-4A61-ADB6-B8A7BA757648}" srcOrd="1" destOrd="0" presId="urn:microsoft.com/office/officeart/2005/8/layout/cycle8"/>
    <dgm:cxn modelId="{97A8FA5D-8055-48A6-A7E8-8B87F1F62B81}" type="presOf" srcId="{7CC28FE4-DEB2-4AE6-B81B-4AC9FBB29414}" destId="{C6DA6DD9-4743-4C8C-8B07-C06FF31B7D1E}" srcOrd="1" destOrd="0" presId="urn:microsoft.com/office/officeart/2005/8/layout/cycle8"/>
    <dgm:cxn modelId="{0724E984-35C1-40EA-974A-A44C5B3C66C6}" type="presOf" srcId="{93C8A442-E5C4-4175-A725-37B66849FB87}" destId="{273DA6CA-5F3F-438C-8A23-EE86605D525F}" srcOrd="0" destOrd="0" presId="urn:microsoft.com/office/officeart/2005/8/layout/cycle8"/>
    <dgm:cxn modelId="{8DFC4C6A-3425-4743-9362-5D7CAD96A3CA}" type="presOf" srcId="{3792827B-B0EC-4041-9573-BD64951A37E3}" destId="{2B284C75-F2EE-4FE2-8885-BFECD73835ED}" srcOrd="0" destOrd="0" presId="urn:microsoft.com/office/officeart/2005/8/layout/cycle8"/>
    <dgm:cxn modelId="{E3CAB91A-12E2-4CA0-B7ED-1FBE70F40BBA}" type="presOf" srcId="{1A382528-0B61-45C8-969A-101599DC83E9}" destId="{79B0F783-E0A1-4AA3-923F-FD8029F9283C}" srcOrd="1" destOrd="0" presId="urn:microsoft.com/office/officeart/2005/8/layout/cycle8"/>
    <dgm:cxn modelId="{ACF58D99-317A-4BB0-8B96-2DFAFA4B6F70}" srcId="{3792827B-B0EC-4041-9573-BD64951A37E3}" destId="{93C8A442-E5C4-4175-A725-37B66849FB87}" srcOrd="2" destOrd="0" parTransId="{44BD0517-9964-4295-9895-3DA0498FA990}" sibTransId="{93188900-0E87-4C23-BC24-3FC2A5BCA78A}"/>
    <dgm:cxn modelId="{41064C93-9D15-4BA8-B5AB-BA1EE5AD9704}" type="presOf" srcId="{93C8A442-E5C4-4175-A725-37B66849FB87}" destId="{C4C7A7CA-B3A5-4572-B0AB-589E65AFD522}" srcOrd="1" destOrd="0" presId="urn:microsoft.com/office/officeart/2005/8/layout/cycle8"/>
    <dgm:cxn modelId="{9636B11F-AE2D-4E56-9D27-E097625F9B40}" type="presOf" srcId="{F1F08BFF-54D2-4B58-BE8F-A38B99A76551}" destId="{CC203EB2-A923-4707-BCD6-0E678BC7A624}" srcOrd="0" destOrd="0" presId="urn:microsoft.com/office/officeart/2005/8/layout/cycle8"/>
    <dgm:cxn modelId="{4BE0F7E5-F9E2-40EB-BDC7-7CF80E3C4AF6}" srcId="{3792827B-B0EC-4041-9573-BD64951A37E3}" destId="{F1F08BFF-54D2-4B58-BE8F-A38B99A76551}" srcOrd="1" destOrd="0" parTransId="{6CF97B50-5CC8-47E8-A30B-E5DDCF65ABF5}" sibTransId="{9BE94A7D-FFAA-4097-8004-49451F5AF162}"/>
    <dgm:cxn modelId="{BF85F8C2-6C5D-4E5E-8DC3-DE898FC38E48}" srcId="{3792827B-B0EC-4041-9573-BD64951A37E3}" destId="{7ECFB812-4A99-4077-A09A-4AEDF9857A76}" srcOrd="3" destOrd="0" parTransId="{352B5B00-078F-4BE3-B72D-1D8C8EBE4929}" sibTransId="{9045F1F0-C449-4DA0-B233-8E1E236A1226}"/>
    <dgm:cxn modelId="{F9932DC3-2670-48E0-B5E9-A072966EC3C4}" type="presOf" srcId="{29F02F2A-14DD-4260-84B4-20CB1529DAFF}" destId="{41059C4E-82A7-4536-9F7C-71CE3749A965}" srcOrd="0" destOrd="0" presId="urn:microsoft.com/office/officeart/2005/8/layout/cycle8"/>
    <dgm:cxn modelId="{945BB36A-090F-46C6-8E5D-6E16D6B3DDB9}" type="presOf" srcId="{1A382528-0B61-45C8-969A-101599DC83E9}" destId="{85105506-83F4-4C4D-91CC-25B8B91600B1}" srcOrd="0" destOrd="0" presId="urn:microsoft.com/office/officeart/2005/8/layout/cycle8"/>
    <dgm:cxn modelId="{6FED65C8-2535-48BF-BFB8-A0A474C37E2F}" type="presOf" srcId="{7CC28FE4-DEB2-4AE6-B81B-4AC9FBB29414}" destId="{77D8570A-AF87-4A6C-8ACD-712BAAAADD2E}" srcOrd="0" destOrd="0" presId="urn:microsoft.com/office/officeart/2005/8/layout/cycle8"/>
    <dgm:cxn modelId="{30177198-12A4-4415-AA6D-F4BD6F298D48}" type="presOf" srcId="{7ECFB812-4A99-4077-A09A-4AEDF9857A76}" destId="{22F06601-09FB-400C-BB9C-923282F536AC}" srcOrd="1" destOrd="0" presId="urn:microsoft.com/office/officeart/2005/8/layout/cycle8"/>
    <dgm:cxn modelId="{F733C06F-3B2C-4BBC-9896-242AC407EE9A}" type="presOf" srcId="{7ECFB812-4A99-4077-A09A-4AEDF9857A76}" destId="{F82F6762-E426-4654-93A3-4DB174ACEC57}" srcOrd="0" destOrd="0" presId="urn:microsoft.com/office/officeart/2005/8/layout/cycle8"/>
    <dgm:cxn modelId="{6BDE39FB-0EC1-414B-A41C-942D58A88672}" srcId="{3792827B-B0EC-4041-9573-BD64951A37E3}" destId="{29F02F2A-14DD-4260-84B4-20CB1529DAFF}" srcOrd="0" destOrd="0" parTransId="{27A06C1D-6DAC-4ABB-B795-234BD5982898}" sibTransId="{3F06D58D-4CA4-4320-BB43-B8B00BEFDE08}"/>
    <dgm:cxn modelId="{54315B0C-45E9-43F6-9944-A6D0DBB721E6}" srcId="{3792827B-B0EC-4041-9573-BD64951A37E3}" destId="{7CC28FE4-DEB2-4AE6-B81B-4AC9FBB29414}" srcOrd="5" destOrd="0" parTransId="{27C62C42-026D-47B0-AA84-0E298A8CAADD}" sibTransId="{B0993C75-39CB-434A-953D-8F77CAF328C3}"/>
    <dgm:cxn modelId="{C3115173-3AEC-4049-8469-000B2AAE83A1}" type="presParOf" srcId="{2B284C75-F2EE-4FE2-8885-BFECD73835ED}" destId="{41059C4E-82A7-4536-9F7C-71CE3749A965}" srcOrd="0" destOrd="0" presId="urn:microsoft.com/office/officeart/2005/8/layout/cycle8"/>
    <dgm:cxn modelId="{B1F309EB-D57D-40E0-A6ED-C11A447636B7}" type="presParOf" srcId="{2B284C75-F2EE-4FE2-8885-BFECD73835ED}" destId="{BB1310E1-EA01-4155-9205-6603A2F5229C}" srcOrd="1" destOrd="0" presId="urn:microsoft.com/office/officeart/2005/8/layout/cycle8"/>
    <dgm:cxn modelId="{E730D022-CDAE-41E2-B681-AAFF8264CD83}" type="presParOf" srcId="{2B284C75-F2EE-4FE2-8885-BFECD73835ED}" destId="{CB6F5DDA-F29E-49FC-87ED-2F0D5BFA14BC}" srcOrd="2" destOrd="0" presId="urn:microsoft.com/office/officeart/2005/8/layout/cycle8"/>
    <dgm:cxn modelId="{D9A5AE2B-6550-4497-B28B-E80E1EE4D927}" type="presParOf" srcId="{2B284C75-F2EE-4FE2-8885-BFECD73835ED}" destId="{C12260A4-85B9-45DB-8381-109933D131E7}" srcOrd="3" destOrd="0" presId="urn:microsoft.com/office/officeart/2005/8/layout/cycle8"/>
    <dgm:cxn modelId="{4A72FF9A-555C-47FB-9CD7-24F15DF48DCA}" type="presParOf" srcId="{2B284C75-F2EE-4FE2-8885-BFECD73835ED}" destId="{CC203EB2-A923-4707-BCD6-0E678BC7A624}" srcOrd="4" destOrd="0" presId="urn:microsoft.com/office/officeart/2005/8/layout/cycle8"/>
    <dgm:cxn modelId="{4036E415-0D29-44DC-8B59-92D4797E6BE0}" type="presParOf" srcId="{2B284C75-F2EE-4FE2-8885-BFECD73835ED}" destId="{B600F7D5-02E8-4B82-88AE-1617F276A48C}" srcOrd="5" destOrd="0" presId="urn:microsoft.com/office/officeart/2005/8/layout/cycle8"/>
    <dgm:cxn modelId="{286E4AE3-1E74-4640-A7D0-74F250FE8F5D}" type="presParOf" srcId="{2B284C75-F2EE-4FE2-8885-BFECD73835ED}" destId="{0379AD3C-150E-4CFF-B0CC-769A73D6E57C}" srcOrd="6" destOrd="0" presId="urn:microsoft.com/office/officeart/2005/8/layout/cycle8"/>
    <dgm:cxn modelId="{88C250F1-B6F8-4BC0-9E01-F1A5F5B41F71}" type="presParOf" srcId="{2B284C75-F2EE-4FE2-8885-BFECD73835ED}" destId="{8E271953-6EF4-4A61-ADB6-B8A7BA757648}" srcOrd="7" destOrd="0" presId="urn:microsoft.com/office/officeart/2005/8/layout/cycle8"/>
    <dgm:cxn modelId="{C4D50495-3F53-4F7F-A363-3881AEC443C1}" type="presParOf" srcId="{2B284C75-F2EE-4FE2-8885-BFECD73835ED}" destId="{273DA6CA-5F3F-438C-8A23-EE86605D525F}" srcOrd="8" destOrd="0" presId="urn:microsoft.com/office/officeart/2005/8/layout/cycle8"/>
    <dgm:cxn modelId="{2D897BC6-7F85-4049-8480-B0D82D197D87}" type="presParOf" srcId="{2B284C75-F2EE-4FE2-8885-BFECD73835ED}" destId="{B2EE5343-3AD1-4164-BFDC-8317BF32CB6B}" srcOrd="9" destOrd="0" presId="urn:microsoft.com/office/officeart/2005/8/layout/cycle8"/>
    <dgm:cxn modelId="{A5FF307C-732E-4126-8087-3E9025C8B824}" type="presParOf" srcId="{2B284C75-F2EE-4FE2-8885-BFECD73835ED}" destId="{BB3B16DB-4F46-4B0F-9A33-D815254EE9C4}" srcOrd="10" destOrd="0" presId="urn:microsoft.com/office/officeart/2005/8/layout/cycle8"/>
    <dgm:cxn modelId="{57E904C5-165B-4EFC-BF6E-95C48A0EF1AA}" type="presParOf" srcId="{2B284C75-F2EE-4FE2-8885-BFECD73835ED}" destId="{C4C7A7CA-B3A5-4572-B0AB-589E65AFD522}" srcOrd="11" destOrd="0" presId="urn:microsoft.com/office/officeart/2005/8/layout/cycle8"/>
    <dgm:cxn modelId="{CF8C1319-D667-4A03-A08F-B555B0F47D54}" type="presParOf" srcId="{2B284C75-F2EE-4FE2-8885-BFECD73835ED}" destId="{F82F6762-E426-4654-93A3-4DB174ACEC57}" srcOrd="12" destOrd="0" presId="urn:microsoft.com/office/officeart/2005/8/layout/cycle8"/>
    <dgm:cxn modelId="{2935988F-4B8A-41E3-9EA7-94BBA4100145}" type="presParOf" srcId="{2B284C75-F2EE-4FE2-8885-BFECD73835ED}" destId="{E61708E1-124F-456A-A51C-98012B6B1477}" srcOrd="13" destOrd="0" presId="urn:microsoft.com/office/officeart/2005/8/layout/cycle8"/>
    <dgm:cxn modelId="{9467A2BD-209E-410A-8D6C-BE1558ADB3F9}" type="presParOf" srcId="{2B284C75-F2EE-4FE2-8885-BFECD73835ED}" destId="{EA43A72D-9DAB-4992-8464-CD104591EC13}" srcOrd="14" destOrd="0" presId="urn:microsoft.com/office/officeart/2005/8/layout/cycle8"/>
    <dgm:cxn modelId="{BCC9D628-C296-48BD-932B-33A6DE5E3328}" type="presParOf" srcId="{2B284C75-F2EE-4FE2-8885-BFECD73835ED}" destId="{22F06601-09FB-400C-BB9C-923282F536AC}" srcOrd="15" destOrd="0" presId="urn:microsoft.com/office/officeart/2005/8/layout/cycle8"/>
    <dgm:cxn modelId="{A5E93F8E-81A8-4764-B243-2057B6CE0998}" type="presParOf" srcId="{2B284C75-F2EE-4FE2-8885-BFECD73835ED}" destId="{85105506-83F4-4C4D-91CC-25B8B91600B1}" srcOrd="16" destOrd="0" presId="urn:microsoft.com/office/officeart/2005/8/layout/cycle8"/>
    <dgm:cxn modelId="{7B879661-E9CA-4931-BE12-EB0719D68B44}" type="presParOf" srcId="{2B284C75-F2EE-4FE2-8885-BFECD73835ED}" destId="{A3994ED4-D23F-43E3-B606-DDEF944F6210}" srcOrd="17" destOrd="0" presId="urn:microsoft.com/office/officeart/2005/8/layout/cycle8"/>
    <dgm:cxn modelId="{C8DFFF26-FBE7-4783-816D-7196D132465F}" type="presParOf" srcId="{2B284C75-F2EE-4FE2-8885-BFECD73835ED}" destId="{F3CD42B2-E760-41D8-8C04-05CE5C84B1C8}" srcOrd="18" destOrd="0" presId="urn:microsoft.com/office/officeart/2005/8/layout/cycle8"/>
    <dgm:cxn modelId="{2F45F4D8-1330-4C2F-98B3-F314073AD519}" type="presParOf" srcId="{2B284C75-F2EE-4FE2-8885-BFECD73835ED}" destId="{79B0F783-E0A1-4AA3-923F-FD8029F9283C}" srcOrd="19" destOrd="0" presId="urn:microsoft.com/office/officeart/2005/8/layout/cycle8"/>
    <dgm:cxn modelId="{34849309-DCEC-4953-AD0C-2F3A591806E4}" type="presParOf" srcId="{2B284C75-F2EE-4FE2-8885-BFECD73835ED}" destId="{77D8570A-AF87-4A6C-8ACD-712BAAAADD2E}" srcOrd="20" destOrd="0" presId="urn:microsoft.com/office/officeart/2005/8/layout/cycle8"/>
    <dgm:cxn modelId="{471CA553-881D-46AD-8BFD-1C39149309C0}" type="presParOf" srcId="{2B284C75-F2EE-4FE2-8885-BFECD73835ED}" destId="{CD3D4615-AED7-4C76-B962-66367E04B9FA}" srcOrd="21" destOrd="0" presId="urn:microsoft.com/office/officeart/2005/8/layout/cycle8"/>
    <dgm:cxn modelId="{F8E1993A-B357-4A45-B9DF-7B2C4E426380}" type="presParOf" srcId="{2B284C75-F2EE-4FE2-8885-BFECD73835ED}" destId="{E1C9CDD5-2B77-4E2A-B5E7-815C774C1C05}" srcOrd="22" destOrd="0" presId="urn:microsoft.com/office/officeart/2005/8/layout/cycle8"/>
    <dgm:cxn modelId="{D8B9C708-2639-4C23-8C30-6E6BD570A5BB}" type="presParOf" srcId="{2B284C75-F2EE-4FE2-8885-BFECD73835ED}" destId="{C6DA6DD9-4743-4C8C-8B07-C06FF31B7D1E}" srcOrd="23" destOrd="0" presId="urn:microsoft.com/office/officeart/2005/8/layout/cycle8"/>
    <dgm:cxn modelId="{6613A452-733F-4CC7-9A9F-0E1FD6F3FDC6}" type="presParOf" srcId="{2B284C75-F2EE-4FE2-8885-BFECD73835ED}" destId="{16FC012F-349A-4D1A-B27C-2FB162830471}" srcOrd="24" destOrd="0" presId="urn:microsoft.com/office/officeart/2005/8/layout/cycle8"/>
    <dgm:cxn modelId="{F5915725-E57F-41D1-A3A9-370279FB4197}" type="presParOf" srcId="{2B284C75-F2EE-4FE2-8885-BFECD73835ED}" destId="{D1622802-4E1C-4A31-91BE-3EF6BC82E217}" srcOrd="25" destOrd="0" presId="urn:microsoft.com/office/officeart/2005/8/layout/cycle8"/>
    <dgm:cxn modelId="{15925DD9-7714-457A-A805-1A019E8BD71B}" type="presParOf" srcId="{2B284C75-F2EE-4FE2-8885-BFECD73835ED}" destId="{96F625C4-C59E-4A3E-83C2-888CC15BD3C4}" srcOrd="26" destOrd="0" presId="urn:microsoft.com/office/officeart/2005/8/layout/cycle8"/>
    <dgm:cxn modelId="{DCB65477-86E5-422A-B238-FAB9798DA033}" type="presParOf" srcId="{2B284C75-F2EE-4FE2-8885-BFECD73835ED}" destId="{27CCC940-6552-4910-8678-16BDF0CBE2B4}" srcOrd="27" destOrd="0" presId="urn:microsoft.com/office/officeart/2005/8/layout/cycle8"/>
    <dgm:cxn modelId="{516003AB-1931-4AA2-AEB9-9DCA7750F424}" type="presParOf" srcId="{2B284C75-F2EE-4FE2-8885-BFECD73835ED}" destId="{E97BE6B5-2CD6-431C-A327-F588EAB3388C}" srcOrd="28" destOrd="0" presId="urn:microsoft.com/office/officeart/2005/8/layout/cycle8"/>
    <dgm:cxn modelId="{645CA29D-A566-4EE3-AD52-DBB1ED44E772}" type="presParOf" srcId="{2B284C75-F2EE-4FE2-8885-BFECD73835ED}" destId="{687EA0E1-F232-45C0-B446-1564127739EB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92827B-B0EC-4041-9573-BD64951A37E3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9F02F2A-14DD-4260-84B4-20CB1529DAFF}">
      <dgm:prSet phldrT="[Текст]"/>
      <dgm:spPr/>
      <dgm:t>
        <a:bodyPr/>
        <a:lstStyle/>
        <a:p>
          <a:r>
            <a:rPr lang="uk-UA" b="1"/>
            <a:t>1. Огляд</a:t>
          </a:r>
        </a:p>
      </dgm:t>
    </dgm:pt>
    <dgm:pt modelId="{27A06C1D-6DAC-4ABB-B795-234BD5982898}" type="parTrans" cxnId="{6BDE39FB-0EC1-414B-A41C-942D58A88672}">
      <dgm:prSet/>
      <dgm:spPr/>
      <dgm:t>
        <a:bodyPr/>
        <a:lstStyle/>
        <a:p>
          <a:endParaRPr lang="uk-UA"/>
        </a:p>
      </dgm:t>
    </dgm:pt>
    <dgm:pt modelId="{3F06D58D-4CA4-4320-BB43-B8B00BEFDE08}" type="sibTrans" cxnId="{6BDE39FB-0EC1-414B-A41C-942D58A88672}">
      <dgm:prSet/>
      <dgm:spPr/>
      <dgm:t>
        <a:bodyPr/>
        <a:lstStyle/>
        <a:p>
          <a:endParaRPr lang="uk-UA"/>
        </a:p>
      </dgm:t>
    </dgm:pt>
    <dgm:pt modelId="{F1F08BFF-54D2-4B58-BE8F-A38B99A76551}">
      <dgm:prSet phldrT="[Текст]"/>
      <dgm:spPr/>
      <dgm:t>
        <a:bodyPr/>
        <a:lstStyle/>
        <a:p>
          <a:r>
            <a:rPr lang="uk-UA" b="1"/>
            <a:t>2. Запрошення</a:t>
          </a:r>
        </a:p>
      </dgm:t>
    </dgm:pt>
    <dgm:pt modelId="{6CF97B50-5CC8-47E8-A30B-E5DDCF65ABF5}" type="parTrans" cxnId="{4BE0F7E5-F9E2-40EB-BDC7-7CF80E3C4AF6}">
      <dgm:prSet/>
      <dgm:spPr/>
      <dgm:t>
        <a:bodyPr/>
        <a:lstStyle/>
        <a:p>
          <a:endParaRPr lang="uk-UA"/>
        </a:p>
      </dgm:t>
    </dgm:pt>
    <dgm:pt modelId="{9BE94A7D-FFAA-4097-8004-49451F5AF162}" type="sibTrans" cxnId="{4BE0F7E5-F9E2-40EB-BDC7-7CF80E3C4AF6}">
      <dgm:prSet/>
      <dgm:spPr/>
      <dgm:t>
        <a:bodyPr/>
        <a:lstStyle/>
        <a:p>
          <a:endParaRPr lang="uk-UA"/>
        </a:p>
      </dgm:t>
    </dgm:pt>
    <dgm:pt modelId="{93C8A442-E5C4-4175-A725-37B66849FB87}">
      <dgm:prSet phldrT="[Текст]"/>
      <dgm:spPr/>
      <dgm:t>
        <a:bodyPr/>
        <a:lstStyle/>
        <a:p>
          <a:r>
            <a:rPr lang="uk-UA" b="1"/>
            <a:t>3. Відгук</a:t>
          </a:r>
        </a:p>
      </dgm:t>
    </dgm:pt>
    <dgm:pt modelId="{44BD0517-9964-4295-9895-3DA0498FA990}" type="parTrans" cxnId="{ACF58D99-317A-4BB0-8B96-2DFAFA4B6F70}">
      <dgm:prSet/>
      <dgm:spPr/>
      <dgm:t>
        <a:bodyPr/>
        <a:lstStyle/>
        <a:p>
          <a:endParaRPr lang="uk-UA"/>
        </a:p>
      </dgm:t>
    </dgm:pt>
    <dgm:pt modelId="{93188900-0E87-4C23-BC24-3FC2A5BCA78A}" type="sibTrans" cxnId="{ACF58D99-317A-4BB0-8B96-2DFAFA4B6F70}">
      <dgm:prSet/>
      <dgm:spPr/>
      <dgm:t>
        <a:bodyPr/>
        <a:lstStyle/>
        <a:p>
          <a:endParaRPr lang="uk-UA"/>
        </a:p>
      </dgm:t>
    </dgm:pt>
    <dgm:pt modelId="{7ECFB812-4A99-4077-A09A-4AEDF9857A76}">
      <dgm:prSet phldrT="[Текст]"/>
      <dgm:spPr/>
      <dgm:t>
        <a:bodyPr/>
        <a:lstStyle/>
        <a:p>
          <a:r>
            <a:rPr lang="uk-UA" b="1"/>
            <a:t>4. Колегіальна експертна підтримка</a:t>
          </a:r>
        </a:p>
      </dgm:t>
    </dgm:pt>
    <dgm:pt modelId="{352B5B00-078F-4BE3-B72D-1D8C8EBE4929}" type="parTrans" cxnId="{BF85F8C2-6C5D-4E5E-8DC3-DE898FC38E48}">
      <dgm:prSet/>
      <dgm:spPr/>
      <dgm:t>
        <a:bodyPr/>
        <a:lstStyle/>
        <a:p>
          <a:endParaRPr lang="ru-RU"/>
        </a:p>
      </dgm:t>
    </dgm:pt>
    <dgm:pt modelId="{9045F1F0-C449-4DA0-B233-8E1E236A1226}" type="sibTrans" cxnId="{BF85F8C2-6C5D-4E5E-8DC3-DE898FC38E48}">
      <dgm:prSet/>
      <dgm:spPr/>
      <dgm:t>
        <a:bodyPr/>
        <a:lstStyle/>
        <a:p>
          <a:endParaRPr lang="ru-RU"/>
        </a:p>
      </dgm:t>
    </dgm:pt>
    <dgm:pt modelId="{1A382528-0B61-45C8-969A-101599DC83E9}">
      <dgm:prSet phldrT="[Текст]"/>
      <dgm:spPr/>
      <dgm:t>
        <a:bodyPr/>
        <a:lstStyle/>
        <a:p>
          <a:r>
            <a:rPr lang="uk-UA" b="1"/>
            <a:t>5. Звіт щодо модернізації</a:t>
          </a:r>
        </a:p>
      </dgm:t>
    </dgm:pt>
    <dgm:pt modelId="{E087ED26-CD6D-40FF-843F-874B1B4212AE}" type="parTrans" cxnId="{B260D87C-A219-4917-932F-16C428CC73A1}">
      <dgm:prSet/>
      <dgm:spPr/>
      <dgm:t>
        <a:bodyPr/>
        <a:lstStyle/>
        <a:p>
          <a:endParaRPr lang="ru-RU"/>
        </a:p>
      </dgm:t>
    </dgm:pt>
    <dgm:pt modelId="{04F04793-7435-4107-8075-63FF71C3A03D}" type="sibTrans" cxnId="{B260D87C-A219-4917-932F-16C428CC73A1}">
      <dgm:prSet/>
      <dgm:spPr/>
      <dgm:t>
        <a:bodyPr/>
        <a:lstStyle/>
        <a:p>
          <a:endParaRPr lang="ru-RU"/>
        </a:p>
      </dgm:t>
    </dgm:pt>
    <dgm:pt modelId="{50F1E7D3-4558-4036-A5EE-D1C703E3E120}">
      <dgm:prSet phldrT="[Текст]"/>
      <dgm:spPr/>
      <dgm:t>
        <a:bodyPr/>
        <a:lstStyle/>
        <a:p>
          <a:r>
            <a:rPr lang="uk-UA" b="1"/>
            <a:t>6. Дані</a:t>
          </a:r>
        </a:p>
      </dgm:t>
    </dgm:pt>
    <dgm:pt modelId="{F455D7BB-4380-45B8-B0C8-C6E44731320B}" type="parTrans" cxnId="{354565A3-C6D5-41A3-BB0B-3ECE01327F32}">
      <dgm:prSet/>
      <dgm:spPr/>
      <dgm:t>
        <a:bodyPr/>
        <a:lstStyle/>
        <a:p>
          <a:endParaRPr lang="ru-RU"/>
        </a:p>
      </dgm:t>
    </dgm:pt>
    <dgm:pt modelId="{16255059-1F06-4B2F-BBA2-E51A918738A7}" type="sibTrans" cxnId="{354565A3-C6D5-41A3-BB0B-3ECE01327F32}">
      <dgm:prSet/>
      <dgm:spPr/>
      <dgm:t>
        <a:bodyPr/>
        <a:lstStyle/>
        <a:p>
          <a:endParaRPr lang="ru-RU"/>
        </a:p>
      </dgm:t>
    </dgm:pt>
    <dgm:pt modelId="{2B284C75-F2EE-4FE2-8885-BFECD73835ED}" type="pres">
      <dgm:prSet presAssocID="{3792827B-B0EC-4041-9573-BD64951A37E3}" presName="compositeShape" presStyleCnt="0">
        <dgm:presLayoutVars>
          <dgm:chMax val="7"/>
          <dgm:dir/>
          <dgm:resizeHandles val="exact"/>
        </dgm:presLayoutVars>
      </dgm:prSet>
      <dgm:spPr/>
    </dgm:pt>
    <dgm:pt modelId="{41059C4E-82A7-4536-9F7C-71CE3749A965}" type="pres">
      <dgm:prSet presAssocID="{3792827B-B0EC-4041-9573-BD64951A37E3}" presName="wedge1" presStyleLbl="node1" presStyleIdx="0" presStyleCnt="6"/>
      <dgm:spPr/>
      <dgm:t>
        <a:bodyPr/>
        <a:lstStyle/>
        <a:p>
          <a:endParaRPr lang="uk-UA"/>
        </a:p>
      </dgm:t>
    </dgm:pt>
    <dgm:pt modelId="{BB1310E1-EA01-4155-9205-6603A2F5229C}" type="pres">
      <dgm:prSet presAssocID="{3792827B-B0EC-4041-9573-BD64951A37E3}" presName="dummy1a" presStyleCnt="0"/>
      <dgm:spPr/>
    </dgm:pt>
    <dgm:pt modelId="{CB6F5DDA-F29E-49FC-87ED-2F0D5BFA14BC}" type="pres">
      <dgm:prSet presAssocID="{3792827B-B0EC-4041-9573-BD64951A37E3}" presName="dummy1b" presStyleCnt="0"/>
      <dgm:spPr/>
    </dgm:pt>
    <dgm:pt modelId="{C12260A4-85B9-45DB-8381-109933D131E7}" type="pres">
      <dgm:prSet presAssocID="{3792827B-B0EC-4041-9573-BD64951A37E3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C203EB2-A923-4707-BCD6-0E678BC7A624}" type="pres">
      <dgm:prSet presAssocID="{3792827B-B0EC-4041-9573-BD64951A37E3}" presName="wedge2" presStyleLbl="node1" presStyleIdx="1" presStyleCnt="6"/>
      <dgm:spPr/>
      <dgm:t>
        <a:bodyPr/>
        <a:lstStyle/>
        <a:p>
          <a:endParaRPr lang="uk-UA"/>
        </a:p>
      </dgm:t>
    </dgm:pt>
    <dgm:pt modelId="{B600F7D5-02E8-4B82-88AE-1617F276A48C}" type="pres">
      <dgm:prSet presAssocID="{3792827B-B0EC-4041-9573-BD64951A37E3}" presName="dummy2a" presStyleCnt="0"/>
      <dgm:spPr/>
    </dgm:pt>
    <dgm:pt modelId="{0379AD3C-150E-4CFF-B0CC-769A73D6E57C}" type="pres">
      <dgm:prSet presAssocID="{3792827B-B0EC-4041-9573-BD64951A37E3}" presName="dummy2b" presStyleCnt="0"/>
      <dgm:spPr/>
    </dgm:pt>
    <dgm:pt modelId="{8E271953-6EF4-4A61-ADB6-B8A7BA757648}" type="pres">
      <dgm:prSet presAssocID="{3792827B-B0EC-4041-9573-BD64951A37E3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73DA6CA-5F3F-438C-8A23-EE86605D525F}" type="pres">
      <dgm:prSet presAssocID="{3792827B-B0EC-4041-9573-BD64951A37E3}" presName="wedge3" presStyleLbl="node1" presStyleIdx="2" presStyleCnt="6"/>
      <dgm:spPr/>
      <dgm:t>
        <a:bodyPr/>
        <a:lstStyle/>
        <a:p>
          <a:endParaRPr lang="uk-UA"/>
        </a:p>
      </dgm:t>
    </dgm:pt>
    <dgm:pt modelId="{B2EE5343-3AD1-4164-BFDC-8317BF32CB6B}" type="pres">
      <dgm:prSet presAssocID="{3792827B-B0EC-4041-9573-BD64951A37E3}" presName="dummy3a" presStyleCnt="0"/>
      <dgm:spPr/>
    </dgm:pt>
    <dgm:pt modelId="{BB3B16DB-4F46-4B0F-9A33-D815254EE9C4}" type="pres">
      <dgm:prSet presAssocID="{3792827B-B0EC-4041-9573-BD64951A37E3}" presName="dummy3b" presStyleCnt="0"/>
      <dgm:spPr/>
    </dgm:pt>
    <dgm:pt modelId="{C4C7A7CA-B3A5-4572-B0AB-589E65AFD522}" type="pres">
      <dgm:prSet presAssocID="{3792827B-B0EC-4041-9573-BD64951A37E3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82F6762-E426-4654-93A3-4DB174ACEC57}" type="pres">
      <dgm:prSet presAssocID="{3792827B-B0EC-4041-9573-BD64951A37E3}" presName="wedge4" presStyleLbl="node1" presStyleIdx="3" presStyleCnt="6"/>
      <dgm:spPr/>
      <dgm:t>
        <a:bodyPr/>
        <a:lstStyle/>
        <a:p>
          <a:endParaRPr lang="uk-UA"/>
        </a:p>
      </dgm:t>
    </dgm:pt>
    <dgm:pt modelId="{E61708E1-124F-456A-A51C-98012B6B1477}" type="pres">
      <dgm:prSet presAssocID="{3792827B-B0EC-4041-9573-BD64951A37E3}" presName="dummy4a" presStyleCnt="0"/>
      <dgm:spPr/>
    </dgm:pt>
    <dgm:pt modelId="{EA43A72D-9DAB-4992-8464-CD104591EC13}" type="pres">
      <dgm:prSet presAssocID="{3792827B-B0EC-4041-9573-BD64951A37E3}" presName="dummy4b" presStyleCnt="0"/>
      <dgm:spPr/>
    </dgm:pt>
    <dgm:pt modelId="{22F06601-09FB-400C-BB9C-923282F536AC}" type="pres">
      <dgm:prSet presAssocID="{3792827B-B0EC-4041-9573-BD64951A37E3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5105506-83F4-4C4D-91CC-25B8B91600B1}" type="pres">
      <dgm:prSet presAssocID="{3792827B-B0EC-4041-9573-BD64951A37E3}" presName="wedge5" presStyleLbl="node1" presStyleIdx="4" presStyleCnt="6"/>
      <dgm:spPr/>
      <dgm:t>
        <a:bodyPr/>
        <a:lstStyle/>
        <a:p>
          <a:endParaRPr lang="uk-UA"/>
        </a:p>
      </dgm:t>
    </dgm:pt>
    <dgm:pt modelId="{A3994ED4-D23F-43E3-B606-DDEF944F6210}" type="pres">
      <dgm:prSet presAssocID="{3792827B-B0EC-4041-9573-BD64951A37E3}" presName="dummy5a" presStyleCnt="0"/>
      <dgm:spPr/>
    </dgm:pt>
    <dgm:pt modelId="{F3CD42B2-E760-41D8-8C04-05CE5C84B1C8}" type="pres">
      <dgm:prSet presAssocID="{3792827B-B0EC-4041-9573-BD64951A37E3}" presName="dummy5b" presStyleCnt="0"/>
      <dgm:spPr/>
    </dgm:pt>
    <dgm:pt modelId="{79B0F783-E0A1-4AA3-923F-FD8029F9283C}" type="pres">
      <dgm:prSet presAssocID="{3792827B-B0EC-4041-9573-BD64951A37E3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7D8570A-AF87-4A6C-8ACD-712BAAAADD2E}" type="pres">
      <dgm:prSet presAssocID="{3792827B-B0EC-4041-9573-BD64951A37E3}" presName="wedge6" presStyleLbl="node1" presStyleIdx="5" presStyleCnt="6" custLinFactNeighborX="801" custLinFactNeighborY="-439"/>
      <dgm:spPr/>
      <dgm:t>
        <a:bodyPr/>
        <a:lstStyle/>
        <a:p>
          <a:endParaRPr lang="uk-UA"/>
        </a:p>
      </dgm:t>
    </dgm:pt>
    <dgm:pt modelId="{CD3D4615-AED7-4C76-B962-66367E04B9FA}" type="pres">
      <dgm:prSet presAssocID="{3792827B-B0EC-4041-9573-BD64951A37E3}" presName="dummy6a" presStyleCnt="0"/>
      <dgm:spPr/>
    </dgm:pt>
    <dgm:pt modelId="{E1C9CDD5-2B77-4E2A-B5E7-815C774C1C05}" type="pres">
      <dgm:prSet presAssocID="{3792827B-B0EC-4041-9573-BD64951A37E3}" presName="dummy6b" presStyleCnt="0"/>
      <dgm:spPr/>
    </dgm:pt>
    <dgm:pt modelId="{C6DA6DD9-4743-4C8C-8B07-C06FF31B7D1E}" type="pres">
      <dgm:prSet presAssocID="{3792827B-B0EC-4041-9573-BD64951A37E3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6FC012F-349A-4D1A-B27C-2FB162830471}" type="pres">
      <dgm:prSet presAssocID="{3F06D58D-4CA4-4320-BB43-B8B00BEFDE08}" presName="arrowWedge1" presStyleLbl="fgSibTrans2D1" presStyleIdx="0" presStyleCnt="6"/>
      <dgm:spPr/>
    </dgm:pt>
    <dgm:pt modelId="{D1622802-4E1C-4A31-91BE-3EF6BC82E217}" type="pres">
      <dgm:prSet presAssocID="{9BE94A7D-FFAA-4097-8004-49451F5AF162}" presName="arrowWedge2" presStyleLbl="fgSibTrans2D1" presStyleIdx="1" presStyleCnt="6"/>
      <dgm:spPr/>
    </dgm:pt>
    <dgm:pt modelId="{96F625C4-C59E-4A3E-83C2-888CC15BD3C4}" type="pres">
      <dgm:prSet presAssocID="{93188900-0E87-4C23-BC24-3FC2A5BCA78A}" presName="arrowWedge3" presStyleLbl="fgSibTrans2D1" presStyleIdx="2" presStyleCnt="6"/>
      <dgm:spPr/>
    </dgm:pt>
    <dgm:pt modelId="{27CCC940-6552-4910-8678-16BDF0CBE2B4}" type="pres">
      <dgm:prSet presAssocID="{9045F1F0-C449-4DA0-B233-8E1E236A1226}" presName="arrowWedge4" presStyleLbl="fgSibTrans2D1" presStyleIdx="3" presStyleCnt="6"/>
      <dgm:spPr/>
    </dgm:pt>
    <dgm:pt modelId="{E97BE6B5-2CD6-431C-A327-F588EAB3388C}" type="pres">
      <dgm:prSet presAssocID="{04F04793-7435-4107-8075-63FF71C3A03D}" presName="arrowWedge5" presStyleLbl="fgSibTrans2D1" presStyleIdx="4" presStyleCnt="6"/>
      <dgm:spPr/>
    </dgm:pt>
    <dgm:pt modelId="{84389CA3-F92E-4167-9C04-A2B4C63081F8}" type="pres">
      <dgm:prSet presAssocID="{16255059-1F06-4B2F-BBA2-E51A918738A7}" presName="arrowWedge6" presStyleLbl="fgSibTrans2D1" presStyleIdx="5" presStyleCnt="6"/>
      <dgm:spPr/>
    </dgm:pt>
  </dgm:ptLst>
  <dgm:cxnLst>
    <dgm:cxn modelId="{B260D87C-A219-4917-932F-16C428CC73A1}" srcId="{3792827B-B0EC-4041-9573-BD64951A37E3}" destId="{1A382528-0B61-45C8-969A-101599DC83E9}" srcOrd="4" destOrd="0" parTransId="{E087ED26-CD6D-40FF-843F-874B1B4212AE}" sibTransId="{04F04793-7435-4107-8075-63FF71C3A03D}"/>
    <dgm:cxn modelId="{E29B15E8-87CC-459D-BCCA-9526DB30B6B5}" type="presOf" srcId="{F1F08BFF-54D2-4B58-BE8F-A38B99A76551}" destId="{8E271953-6EF4-4A61-ADB6-B8A7BA757648}" srcOrd="1" destOrd="0" presId="urn:microsoft.com/office/officeart/2005/8/layout/cycle8"/>
    <dgm:cxn modelId="{850572E7-E658-496A-B6D5-22800A0BF1A0}" type="presOf" srcId="{29F02F2A-14DD-4260-84B4-20CB1529DAFF}" destId="{C12260A4-85B9-45DB-8381-109933D131E7}" srcOrd="1" destOrd="0" presId="urn:microsoft.com/office/officeart/2005/8/layout/cycle8"/>
    <dgm:cxn modelId="{C53AB8EE-DE27-45FB-B60B-C8810986DB46}" type="presOf" srcId="{93C8A442-E5C4-4175-A725-37B66849FB87}" destId="{C4C7A7CA-B3A5-4572-B0AB-589E65AFD522}" srcOrd="1" destOrd="0" presId="urn:microsoft.com/office/officeart/2005/8/layout/cycle8"/>
    <dgm:cxn modelId="{0274B89F-67D0-43BD-9F65-617E2CD9EF65}" type="presOf" srcId="{1A382528-0B61-45C8-969A-101599DC83E9}" destId="{79B0F783-E0A1-4AA3-923F-FD8029F9283C}" srcOrd="1" destOrd="0" presId="urn:microsoft.com/office/officeart/2005/8/layout/cycle8"/>
    <dgm:cxn modelId="{915C29DB-E7E3-4E87-A0CF-B1E4EA21BB75}" type="presOf" srcId="{1A382528-0B61-45C8-969A-101599DC83E9}" destId="{85105506-83F4-4C4D-91CC-25B8B91600B1}" srcOrd="0" destOrd="0" presId="urn:microsoft.com/office/officeart/2005/8/layout/cycle8"/>
    <dgm:cxn modelId="{3C4F07BE-14A3-4EA2-9257-3B3D476944AF}" type="presOf" srcId="{7ECFB812-4A99-4077-A09A-4AEDF9857A76}" destId="{F82F6762-E426-4654-93A3-4DB174ACEC57}" srcOrd="0" destOrd="0" presId="urn:microsoft.com/office/officeart/2005/8/layout/cycle8"/>
    <dgm:cxn modelId="{ACF58D99-317A-4BB0-8B96-2DFAFA4B6F70}" srcId="{3792827B-B0EC-4041-9573-BD64951A37E3}" destId="{93C8A442-E5C4-4175-A725-37B66849FB87}" srcOrd="2" destOrd="0" parTransId="{44BD0517-9964-4295-9895-3DA0498FA990}" sibTransId="{93188900-0E87-4C23-BC24-3FC2A5BCA78A}"/>
    <dgm:cxn modelId="{E6D64EA3-B131-43EC-9D43-08D153922BB8}" type="presOf" srcId="{93C8A442-E5C4-4175-A725-37B66849FB87}" destId="{273DA6CA-5F3F-438C-8A23-EE86605D525F}" srcOrd="0" destOrd="0" presId="urn:microsoft.com/office/officeart/2005/8/layout/cycle8"/>
    <dgm:cxn modelId="{FD8989D9-2024-44E1-8D9D-EC02B1DBF17F}" type="presOf" srcId="{3792827B-B0EC-4041-9573-BD64951A37E3}" destId="{2B284C75-F2EE-4FE2-8885-BFECD73835ED}" srcOrd="0" destOrd="0" presId="urn:microsoft.com/office/officeart/2005/8/layout/cycle8"/>
    <dgm:cxn modelId="{14EEB0B4-D77C-4AE8-84F9-CE2E65DFAA73}" type="presOf" srcId="{29F02F2A-14DD-4260-84B4-20CB1529DAFF}" destId="{41059C4E-82A7-4536-9F7C-71CE3749A965}" srcOrd="0" destOrd="0" presId="urn:microsoft.com/office/officeart/2005/8/layout/cycle8"/>
    <dgm:cxn modelId="{F3D9E28C-E0B3-42A1-A178-0098EC38D731}" type="presOf" srcId="{50F1E7D3-4558-4036-A5EE-D1C703E3E120}" destId="{77D8570A-AF87-4A6C-8ACD-712BAAAADD2E}" srcOrd="0" destOrd="0" presId="urn:microsoft.com/office/officeart/2005/8/layout/cycle8"/>
    <dgm:cxn modelId="{4BE0F7E5-F9E2-40EB-BDC7-7CF80E3C4AF6}" srcId="{3792827B-B0EC-4041-9573-BD64951A37E3}" destId="{F1F08BFF-54D2-4B58-BE8F-A38B99A76551}" srcOrd="1" destOrd="0" parTransId="{6CF97B50-5CC8-47E8-A30B-E5DDCF65ABF5}" sibTransId="{9BE94A7D-FFAA-4097-8004-49451F5AF162}"/>
    <dgm:cxn modelId="{765183F2-37CD-4DE4-B21B-60B6D75A8350}" type="presOf" srcId="{50F1E7D3-4558-4036-A5EE-D1C703E3E120}" destId="{C6DA6DD9-4743-4C8C-8B07-C06FF31B7D1E}" srcOrd="1" destOrd="0" presId="urn:microsoft.com/office/officeart/2005/8/layout/cycle8"/>
    <dgm:cxn modelId="{BF85F8C2-6C5D-4E5E-8DC3-DE898FC38E48}" srcId="{3792827B-B0EC-4041-9573-BD64951A37E3}" destId="{7ECFB812-4A99-4077-A09A-4AEDF9857A76}" srcOrd="3" destOrd="0" parTransId="{352B5B00-078F-4BE3-B72D-1D8C8EBE4929}" sibTransId="{9045F1F0-C449-4DA0-B233-8E1E236A1226}"/>
    <dgm:cxn modelId="{8A0CA3BC-1397-4B0A-A56C-D0D1F1816A1C}" type="presOf" srcId="{F1F08BFF-54D2-4B58-BE8F-A38B99A76551}" destId="{CC203EB2-A923-4707-BCD6-0E678BC7A624}" srcOrd="0" destOrd="0" presId="urn:microsoft.com/office/officeart/2005/8/layout/cycle8"/>
    <dgm:cxn modelId="{354565A3-C6D5-41A3-BB0B-3ECE01327F32}" srcId="{3792827B-B0EC-4041-9573-BD64951A37E3}" destId="{50F1E7D3-4558-4036-A5EE-D1C703E3E120}" srcOrd="5" destOrd="0" parTransId="{F455D7BB-4380-45B8-B0C8-C6E44731320B}" sibTransId="{16255059-1F06-4B2F-BBA2-E51A918738A7}"/>
    <dgm:cxn modelId="{D922F2B4-456C-46B7-A95C-766501937D1C}" type="presOf" srcId="{7ECFB812-4A99-4077-A09A-4AEDF9857A76}" destId="{22F06601-09FB-400C-BB9C-923282F536AC}" srcOrd="1" destOrd="0" presId="urn:microsoft.com/office/officeart/2005/8/layout/cycle8"/>
    <dgm:cxn modelId="{6BDE39FB-0EC1-414B-A41C-942D58A88672}" srcId="{3792827B-B0EC-4041-9573-BD64951A37E3}" destId="{29F02F2A-14DD-4260-84B4-20CB1529DAFF}" srcOrd="0" destOrd="0" parTransId="{27A06C1D-6DAC-4ABB-B795-234BD5982898}" sibTransId="{3F06D58D-4CA4-4320-BB43-B8B00BEFDE08}"/>
    <dgm:cxn modelId="{760AC158-34E7-442F-BE1D-A9FEAB9DA5DA}" type="presParOf" srcId="{2B284C75-F2EE-4FE2-8885-BFECD73835ED}" destId="{41059C4E-82A7-4536-9F7C-71CE3749A965}" srcOrd="0" destOrd="0" presId="urn:microsoft.com/office/officeart/2005/8/layout/cycle8"/>
    <dgm:cxn modelId="{4AA0CAD5-E34E-4C5A-B462-244FCB8AB485}" type="presParOf" srcId="{2B284C75-F2EE-4FE2-8885-BFECD73835ED}" destId="{BB1310E1-EA01-4155-9205-6603A2F5229C}" srcOrd="1" destOrd="0" presId="urn:microsoft.com/office/officeart/2005/8/layout/cycle8"/>
    <dgm:cxn modelId="{CEEF689C-0753-4501-8D61-26E666B62CA7}" type="presParOf" srcId="{2B284C75-F2EE-4FE2-8885-BFECD73835ED}" destId="{CB6F5DDA-F29E-49FC-87ED-2F0D5BFA14BC}" srcOrd="2" destOrd="0" presId="urn:microsoft.com/office/officeart/2005/8/layout/cycle8"/>
    <dgm:cxn modelId="{FB077F02-D37E-4E49-AA70-EEF64B5F3FBE}" type="presParOf" srcId="{2B284C75-F2EE-4FE2-8885-BFECD73835ED}" destId="{C12260A4-85B9-45DB-8381-109933D131E7}" srcOrd="3" destOrd="0" presId="urn:microsoft.com/office/officeart/2005/8/layout/cycle8"/>
    <dgm:cxn modelId="{B590E5AB-3882-41AA-8FBE-8F446321A12F}" type="presParOf" srcId="{2B284C75-F2EE-4FE2-8885-BFECD73835ED}" destId="{CC203EB2-A923-4707-BCD6-0E678BC7A624}" srcOrd="4" destOrd="0" presId="urn:microsoft.com/office/officeart/2005/8/layout/cycle8"/>
    <dgm:cxn modelId="{34928ACE-C19D-4759-A4C3-97CCE6067A0D}" type="presParOf" srcId="{2B284C75-F2EE-4FE2-8885-BFECD73835ED}" destId="{B600F7D5-02E8-4B82-88AE-1617F276A48C}" srcOrd="5" destOrd="0" presId="urn:microsoft.com/office/officeart/2005/8/layout/cycle8"/>
    <dgm:cxn modelId="{870E2733-8732-40DA-A74C-60B53ED552D2}" type="presParOf" srcId="{2B284C75-F2EE-4FE2-8885-BFECD73835ED}" destId="{0379AD3C-150E-4CFF-B0CC-769A73D6E57C}" srcOrd="6" destOrd="0" presId="urn:microsoft.com/office/officeart/2005/8/layout/cycle8"/>
    <dgm:cxn modelId="{7E69D509-B3A5-4146-BE4E-25EA3C588BEF}" type="presParOf" srcId="{2B284C75-F2EE-4FE2-8885-BFECD73835ED}" destId="{8E271953-6EF4-4A61-ADB6-B8A7BA757648}" srcOrd="7" destOrd="0" presId="urn:microsoft.com/office/officeart/2005/8/layout/cycle8"/>
    <dgm:cxn modelId="{59CE916B-DDB4-4DD9-8AC7-E086BA66C428}" type="presParOf" srcId="{2B284C75-F2EE-4FE2-8885-BFECD73835ED}" destId="{273DA6CA-5F3F-438C-8A23-EE86605D525F}" srcOrd="8" destOrd="0" presId="urn:microsoft.com/office/officeart/2005/8/layout/cycle8"/>
    <dgm:cxn modelId="{9E153EE1-6D2B-49A7-A3A9-EDC4BA298131}" type="presParOf" srcId="{2B284C75-F2EE-4FE2-8885-BFECD73835ED}" destId="{B2EE5343-3AD1-4164-BFDC-8317BF32CB6B}" srcOrd="9" destOrd="0" presId="urn:microsoft.com/office/officeart/2005/8/layout/cycle8"/>
    <dgm:cxn modelId="{1B6A1B68-DF0B-4826-85E6-CE0BF9B712C9}" type="presParOf" srcId="{2B284C75-F2EE-4FE2-8885-BFECD73835ED}" destId="{BB3B16DB-4F46-4B0F-9A33-D815254EE9C4}" srcOrd="10" destOrd="0" presId="urn:microsoft.com/office/officeart/2005/8/layout/cycle8"/>
    <dgm:cxn modelId="{6FE89F80-2CC7-428B-A215-B638E8F9AB17}" type="presParOf" srcId="{2B284C75-F2EE-4FE2-8885-BFECD73835ED}" destId="{C4C7A7CA-B3A5-4572-B0AB-589E65AFD522}" srcOrd="11" destOrd="0" presId="urn:microsoft.com/office/officeart/2005/8/layout/cycle8"/>
    <dgm:cxn modelId="{BCB7E28E-7DFC-4D97-9AA2-60BE1DB6216D}" type="presParOf" srcId="{2B284C75-F2EE-4FE2-8885-BFECD73835ED}" destId="{F82F6762-E426-4654-93A3-4DB174ACEC57}" srcOrd="12" destOrd="0" presId="urn:microsoft.com/office/officeart/2005/8/layout/cycle8"/>
    <dgm:cxn modelId="{050BEAC0-C2B5-4BE2-AE1E-DDEB583ED5CC}" type="presParOf" srcId="{2B284C75-F2EE-4FE2-8885-BFECD73835ED}" destId="{E61708E1-124F-456A-A51C-98012B6B1477}" srcOrd="13" destOrd="0" presId="urn:microsoft.com/office/officeart/2005/8/layout/cycle8"/>
    <dgm:cxn modelId="{512A756D-FF5E-4267-A6B3-2B3FB3588C1F}" type="presParOf" srcId="{2B284C75-F2EE-4FE2-8885-BFECD73835ED}" destId="{EA43A72D-9DAB-4992-8464-CD104591EC13}" srcOrd="14" destOrd="0" presId="urn:microsoft.com/office/officeart/2005/8/layout/cycle8"/>
    <dgm:cxn modelId="{2AC81DBA-20A3-405A-8A7C-79A2DFC3572F}" type="presParOf" srcId="{2B284C75-F2EE-4FE2-8885-BFECD73835ED}" destId="{22F06601-09FB-400C-BB9C-923282F536AC}" srcOrd="15" destOrd="0" presId="urn:microsoft.com/office/officeart/2005/8/layout/cycle8"/>
    <dgm:cxn modelId="{8368DDDC-E839-475A-A2B3-17AF29D13398}" type="presParOf" srcId="{2B284C75-F2EE-4FE2-8885-BFECD73835ED}" destId="{85105506-83F4-4C4D-91CC-25B8B91600B1}" srcOrd="16" destOrd="0" presId="urn:microsoft.com/office/officeart/2005/8/layout/cycle8"/>
    <dgm:cxn modelId="{208B1E74-029C-4B59-A42B-235ED612258C}" type="presParOf" srcId="{2B284C75-F2EE-4FE2-8885-BFECD73835ED}" destId="{A3994ED4-D23F-43E3-B606-DDEF944F6210}" srcOrd="17" destOrd="0" presId="urn:microsoft.com/office/officeart/2005/8/layout/cycle8"/>
    <dgm:cxn modelId="{9820B816-761B-4CB3-8B3A-D3DC62B2B223}" type="presParOf" srcId="{2B284C75-F2EE-4FE2-8885-BFECD73835ED}" destId="{F3CD42B2-E760-41D8-8C04-05CE5C84B1C8}" srcOrd="18" destOrd="0" presId="urn:microsoft.com/office/officeart/2005/8/layout/cycle8"/>
    <dgm:cxn modelId="{B885D7DF-CA77-454F-A4DC-C62823949694}" type="presParOf" srcId="{2B284C75-F2EE-4FE2-8885-BFECD73835ED}" destId="{79B0F783-E0A1-4AA3-923F-FD8029F9283C}" srcOrd="19" destOrd="0" presId="urn:microsoft.com/office/officeart/2005/8/layout/cycle8"/>
    <dgm:cxn modelId="{4693B990-7D5E-410B-BF40-2A3C9DE3514B}" type="presParOf" srcId="{2B284C75-F2EE-4FE2-8885-BFECD73835ED}" destId="{77D8570A-AF87-4A6C-8ACD-712BAAAADD2E}" srcOrd="20" destOrd="0" presId="urn:microsoft.com/office/officeart/2005/8/layout/cycle8"/>
    <dgm:cxn modelId="{F3DD2D31-8D7B-47C3-913E-0DC52A377CCE}" type="presParOf" srcId="{2B284C75-F2EE-4FE2-8885-BFECD73835ED}" destId="{CD3D4615-AED7-4C76-B962-66367E04B9FA}" srcOrd="21" destOrd="0" presId="urn:microsoft.com/office/officeart/2005/8/layout/cycle8"/>
    <dgm:cxn modelId="{25DAA07A-66FD-4CD1-B63F-F5E83FF8F5A9}" type="presParOf" srcId="{2B284C75-F2EE-4FE2-8885-BFECD73835ED}" destId="{E1C9CDD5-2B77-4E2A-B5E7-815C774C1C05}" srcOrd="22" destOrd="0" presId="urn:microsoft.com/office/officeart/2005/8/layout/cycle8"/>
    <dgm:cxn modelId="{EA0EDF92-FDB7-4667-B9F5-DF00B8DBEB1B}" type="presParOf" srcId="{2B284C75-F2EE-4FE2-8885-BFECD73835ED}" destId="{C6DA6DD9-4743-4C8C-8B07-C06FF31B7D1E}" srcOrd="23" destOrd="0" presId="urn:microsoft.com/office/officeart/2005/8/layout/cycle8"/>
    <dgm:cxn modelId="{1D099051-AFEF-4CC3-B719-A98E6E29B170}" type="presParOf" srcId="{2B284C75-F2EE-4FE2-8885-BFECD73835ED}" destId="{16FC012F-349A-4D1A-B27C-2FB162830471}" srcOrd="24" destOrd="0" presId="urn:microsoft.com/office/officeart/2005/8/layout/cycle8"/>
    <dgm:cxn modelId="{4F9F9666-A56F-4E14-9C75-1603F6A159EA}" type="presParOf" srcId="{2B284C75-F2EE-4FE2-8885-BFECD73835ED}" destId="{D1622802-4E1C-4A31-91BE-3EF6BC82E217}" srcOrd="25" destOrd="0" presId="urn:microsoft.com/office/officeart/2005/8/layout/cycle8"/>
    <dgm:cxn modelId="{D8264D0E-F82D-4DD6-887F-292E2611F9BE}" type="presParOf" srcId="{2B284C75-F2EE-4FE2-8885-BFECD73835ED}" destId="{96F625C4-C59E-4A3E-83C2-888CC15BD3C4}" srcOrd="26" destOrd="0" presId="urn:microsoft.com/office/officeart/2005/8/layout/cycle8"/>
    <dgm:cxn modelId="{26EA46F1-230F-452B-8BA1-D903D2B57A13}" type="presParOf" srcId="{2B284C75-F2EE-4FE2-8885-BFECD73835ED}" destId="{27CCC940-6552-4910-8678-16BDF0CBE2B4}" srcOrd="27" destOrd="0" presId="urn:microsoft.com/office/officeart/2005/8/layout/cycle8"/>
    <dgm:cxn modelId="{9E700FF0-9A8B-46CF-9E2D-164D915F79A7}" type="presParOf" srcId="{2B284C75-F2EE-4FE2-8885-BFECD73835ED}" destId="{E97BE6B5-2CD6-431C-A327-F588EAB3388C}" srcOrd="28" destOrd="0" presId="urn:microsoft.com/office/officeart/2005/8/layout/cycle8"/>
    <dgm:cxn modelId="{0564EABD-1154-4641-BEEB-21AA442A45AD}" type="presParOf" srcId="{2B284C75-F2EE-4FE2-8885-BFECD73835ED}" destId="{84389CA3-F92E-4167-9C04-A2B4C63081F8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59C4E-82A7-4536-9F7C-71CE3749A965}">
      <dsp:nvSpPr>
        <dsp:cNvPr id="0" name=""/>
        <dsp:cNvSpPr/>
      </dsp:nvSpPr>
      <dsp:spPr>
        <a:xfrm>
          <a:off x="532352" y="143845"/>
          <a:ext cx="2168271" cy="2168271"/>
        </a:xfrm>
        <a:prstGeom prst="pie">
          <a:avLst>
            <a:gd name="adj1" fmla="val 16200000"/>
            <a:gd name="adj2" fmla="val 19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1. </a:t>
          </a:r>
          <a:r>
            <a:rPr lang="en-GB" sz="700" b="1" kern="1200"/>
            <a:t>Survey</a:t>
          </a:r>
          <a:endParaRPr lang="uk-UA" sz="700" b="1" kern="1200"/>
        </a:p>
      </dsp:txBody>
      <dsp:txXfrm>
        <a:off x="1668113" y="420816"/>
        <a:ext cx="567880" cy="438816"/>
      </dsp:txXfrm>
    </dsp:sp>
    <dsp:sp modelId="{CC203EB2-A923-4707-BCD6-0E678BC7A624}">
      <dsp:nvSpPr>
        <dsp:cNvPr id="0" name=""/>
        <dsp:cNvSpPr/>
      </dsp:nvSpPr>
      <dsp:spPr>
        <a:xfrm>
          <a:off x="558165" y="188502"/>
          <a:ext cx="2168271" cy="2168271"/>
        </a:xfrm>
        <a:prstGeom prst="pie">
          <a:avLst>
            <a:gd name="adj1" fmla="val 198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2. </a:t>
          </a:r>
          <a:r>
            <a:rPr lang="en-GB" sz="700" b="1" kern="1200"/>
            <a:t>Invite</a:t>
          </a:r>
          <a:endParaRPr lang="uk-UA" sz="700" b="1" kern="1200"/>
        </a:p>
      </dsp:txBody>
      <dsp:txXfrm>
        <a:off x="2029491" y="1066135"/>
        <a:ext cx="593693" cy="425910"/>
      </dsp:txXfrm>
    </dsp:sp>
    <dsp:sp modelId="{273DA6CA-5F3F-438C-8A23-EE86605D525F}">
      <dsp:nvSpPr>
        <dsp:cNvPr id="0" name=""/>
        <dsp:cNvSpPr/>
      </dsp:nvSpPr>
      <dsp:spPr>
        <a:xfrm>
          <a:off x="532352" y="233158"/>
          <a:ext cx="2168271" cy="2168271"/>
        </a:xfrm>
        <a:prstGeom prst="pie">
          <a:avLst>
            <a:gd name="adj1" fmla="val 18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3. </a:t>
          </a:r>
          <a:r>
            <a:rPr lang="en-GB" sz="700" b="1" kern="1200"/>
            <a:t>Response</a:t>
          </a:r>
          <a:endParaRPr lang="uk-UA" sz="700" b="1" kern="1200"/>
        </a:p>
      </dsp:txBody>
      <dsp:txXfrm>
        <a:off x="1668113" y="1698547"/>
        <a:ext cx="567880" cy="438816"/>
      </dsp:txXfrm>
    </dsp:sp>
    <dsp:sp modelId="{F82F6762-E426-4654-93A3-4DB174ACEC57}">
      <dsp:nvSpPr>
        <dsp:cNvPr id="0" name=""/>
        <dsp:cNvSpPr/>
      </dsp:nvSpPr>
      <dsp:spPr>
        <a:xfrm>
          <a:off x="480726" y="233158"/>
          <a:ext cx="2168271" cy="2168271"/>
        </a:xfrm>
        <a:prstGeom prst="pie">
          <a:avLst>
            <a:gd name="adj1" fmla="val 54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4.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Peer-­</a:t>
          </a:r>
          <a:endParaRPr lang="ru-RU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support</a:t>
          </a:r>
          <a:endParaRPr lang="uk-UA" sz="700" b="1" kern="1200"/>
        </a:p>
      </dsp:txBody>
      <dsp:txXfrm>
        <a:off x="945356" y="1698547"/>
        <a:ext cx="567880" cy="438816"/>
      </dsp:txXfrm>
    </dsp:sp>
    <dsp:sp modelId="{85105506-83F4-4C4D-91CC-25B8B91600B1}">
      <dsp:nvSpPr>
        <dsp:cNvPr id="0" name=""/>
        <dsp:cNvSpPr/>
      </dsp:nvSpPr>
      <dsp:spPr>
        <a:xfrm>
          <a:off x="454913" y="188502"/>
          <a:ext cx="2168271" cy="2168271"/>
        </a:xfrm>
        <a:prstGeom prst="pie">
          <a:avLst>
            <a:gd name="adj1" fmla="val 9000000"/>
            <a:gd name="adj2" fmla="val 126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5. </a:t>
          </a:r>
          <a:r>
            <a:rPr lang="en-GB" sz="700" b="1" kern="1200"/>
            <a:t>Update</a:t>
          </a:r>
          <a:endParaRPr lang="uk-UA" sz="700" b="1" kern="1200"/>
        </a:p>
      </dsp:txBody>
      <dsp:txXfrm>
        <a:off x="558165" y="1066135"/>
        <a:ext cx="593693" cy="425910"/>
      </dsp:txXfrm>
    </dsp:sp>
    <dsp:sp modelId="{77D8570A-AF87-4A6C-8ACD-712BAAAADD2E}">
      <dsp:nvSpPr>
        <dsp:cNvPr id="0" name=""/>
        <dsp:cNvSpPr/>
      </dsp:nvSpPr>
      <dsp:spPr>
        <a:xfrm>
          <a:off x="480726" y="143845"/>
          <a:ext cx="2168271" cy="2168271"/>
        </a:xfrm>
        <a:prstGeom prst="pie">
          <a:avLst>
            <a:gd name="adj1" fmla="val 126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6. </a:t>
          </a:r>
          <a:r>
            <a:rPr lang="en-GB" sz="700" b="1" kern="1200"/>
            <a:t>Data</a:t>
          </a:r>
          <a:endParaRPr lang="uk-UA" sz="700" b="1" kern="1200"/>
        </a:p>
      </dsp:txBody>
      <dsp:txXfrm>
        <a:off x="945356" y="420816"/>
        <a:ext cx="567880" cy="438816"/>
      </dsp:txXfrm>
    </dsp:sp>
    <dsp:sp modelId="{16FC012F-349A-4D1A-B27C-2FB162830471}">
      <dsp:nvSpPr>
        <dsp:cNvPr id="0" name=""/>
        <dsp:cNvSpPr/>
      </dsp:nvSpPr>
      <dsp:spPr>
        <a:xfrm>
          <a:off x="398046" y="9619"/>
          <a:ext cx="2436723" cy="2436723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22802-4E1C-4A31-91BE-3EF6BC82E217}">
      <dsp:nvSpPr>
        <dsp:cNvPr id="0" name=""/>
        <dsp:cNvSpPr/>
      </dsp:nvSpPr>
      <dsp:spPr>
        <a:xfrm>
          <a:off x="423859" y="54275"/>
          <a:ext cx="2436723" cy="2436723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F625C4-C59E-4A3E-83C2-888CC15BD3C4}">
      <dsp:nvSpPr>
        <dsp:cNvPr id="0" name=""/>
        <dsp:cNvSpPr/>
      </dsp:nvSpPr>
      <dsp:spPr>
        <a:xfrm>
          <a:off x="398046" y="98931"/>
          <a:ext cx="2436723" cy="2436723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CC940-6552-4910-8678-16BDF0CBE2B4}">
      <dsp:nvSpPr>
        <dsp:cNvPr id="0" name=""/>
        <dsp:cNvSpPr/>
      </dsp:nvSpPr>
      <dsp:spPr>
        <a:xfrm>
          <a:off x="346579" y="98931"/>
          <a:ext cx="2436723" cy="2436723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7BE6B5-2CD6-431C-A327-F588EAB3388C}">
      <dsp:nvSpPr>
        <dsp:cNvPr id="0" name=""/>
        <dsp:cNvSpPr/>
      </dsp:nvSpPr>
      <dsp:spPr>
        <a:xfrm>
          <a:off x="320766" y="54275"/>
          <a:ext cx="2436723" cy="2436723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7EA0E1-F232-45C0-B446-1564127739EB}">
      <dsp:nvSpPr>
        <dsp:cNvPr id="0" name=""/>
        <dsp:cNvSpPr/>
      </dsp:nvSpPr>
      <dsp:spPr>
        <a:xfrm>
          <a:off x="346579" y="9619"/>
          <a:ext cx="2436723" cy="2436723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59C4E-82A7-4536-9F7C-71CE3749A965}">
      <dsp:nvSpPr>
        <dsp:cNvPr id="0" name=""/>
        <dsp:cNvSpPr/>
      </dsp:nvSpPr>
      <dsp:spPr>
        <a:xfrm>
          <a:off x="532352" y="143845"/>
          <a:ext cx="2168271" cy="2168271"/>
        </a:xfrm>
        <a:prstGeom prst="pie">
          <a:avLst>
            <a:gd name="adj1" fmla="val 16200000"/>
            <a:gd name="adj2" fmla="val 19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1. Огляд</a:t>
          </a:r>
        </a:p>
      </dsp:txBody>
      <dsp:txXfrm>
        <a:off x="1668113" y="420816"/>
        <a:ext cx="567880" cy="438816"/>
      </dsp:txXfrm>
    </dsp:sp>
    <dsp:sp modelId="{CC203EB2-A923-4707-BCD6-0E678BC7A624}">
      <dsp:nvSpPr>
        <dsp:cNvPr id="0" name=""/>
        <dsp:cNvSpPr/>
      </dsp:nvSpPr>
      <dsp:spPr>
        <a:xfrm>
          <a:off x="558165" y="188502"/>
          <a:ext cx="2168271" cy="2168271"/>
        </a:xfrm>
        <a:prstGeom prst="pie">
          <a:avLst>
            <a:gd name="adj1" fmla="val 198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2. Запрошення</a:t>
          </a:r>
        </a:p>
      </dsp:txBody>
      <dsp:txXfrm>
        <a:off x="2029491" y="1066135"/>
        <a:ext cx="593693" cy="425910"/>
      </dsp:txXfrm>
    </dsp:sp>
    <dsp:sp modelId="{273DA6CA-5F3F-438C-8A23-EE86605D525F}">
      <dsp:nvSpPr>
        <dsp:cNvPr id="0" name=""/>
        <dsp:cNvSpPr/>
      </dsp:nvSpPr>
      <dsp:spPr>
        <a:xfrm>
          <a:off x="532352" y="233158"/>
          <a:ext cx="2168271" cy="2168271"/>
        </a:xfrm>
        <a:prstGeom prst="pie">
          <a:avLst>
            <a:gd name="adj1" fmla="val 18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3. Відгук</a:t>
          </a:r>
        </a:p>
      </dsp:txBody>
      <dsp:txXfrm>
        <a:off x="1668113" y="1698547"/>
        <a:ext cx="567880" cy="438816"/>
      </dsp:txXfrm>
    </dsp:sp>
    <dsp:sp modelId="{F82F6762-E426-4654-93A3-4DB174ACEC57}">
      <dsp:nvSpPr>
        <dsp:cNvPr id="0" name=""/>
        <dsp:cNvSpPr/>
      </dsp:nvSpPr>
      <dsp:spPr>
        <a:xfrm>
          <a:off x="480726" y="233158"/>
          <a:ext cx="2168271" cy="2168271"/>
        </a:xfrm>
        <a:prstGeom prst="pie">
          <a:avLst>
            <a:gd name="adj1" fmla="val 54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4. Колегіальна експертна підтримка</a:t>
          </a:r>
        </a:p>
      </dsp:txBody>
      <dsp:txXfrm>
        <a:off x="945356" y="1698547"/>
        <a:ext cx="567880" cy="438816"/>
      </dsp:txXfrm>
    </dsp:sp>
    <dsp:sp modelId="{85105506-83F4-4C4D-91CC-25B8B91600B1}">
      <dsp:nvSpPr>
        <dsp:cNvPr id="0" name=""/>
        <dsp:cNvSpPr/>
      </dsp:nvSpPr>
      <dsp:spPr>
        <a:xfrm>
          <a:off x="454913" y="188502"/>
          <a:ext cx="2168271" cy="2168271"/>
        </a:xfrm>
        <a:prstGeom prst="pie">
          <a:avLst>
            <a:gd name="adj1" fmla="val 9000000"/>
            <a:gd name="adj2" fmla="val 126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5. Звіт щодо модернізації</a:t>
          </a:r>
        </a:p>
      </dsp:txBody>
      <dsp:txXfrm>
        <a:off x="558165" y="1066135"/>
        <a:ext cx="593693" cy="425910"/>
      </dsp:txXfrm>
    </dsp:sp>
    <dsp:sp modelId="{77D8570A-AF87-4A6C-8ACD-712BAAAADD2E}">
      <dsp:nvSpPr>
        <dsp:cNvPr id="0" name=""/>
        <dsp:cNvSpPr/>
      </dsp:nvSpPr>
      <dsp:spPr>
        <a:xfrm>
          <a:off x="498094" y="134327"/>
          <a:ext cx="2168271" cy="2168271"/>
        </a:xfrm>
        <a:prstGeom prst="pie">
          <a:avLst>
            <a:gd name="adj1" fmla="val 126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1" kern="1200"/>
            <a:t>6. Дані</a:t>
          </a:r>
        </a:p>
      </dsp:txBody>
      <dsp:txXfrm>
        <a:off x="962724" y="411298"/>
        <a:ext cx="567880" cy="438816"/>
      </dsp:txXfrm>
    </dsp:sp>
    <dsp:sp modelId="{16FC012F-349A-4D1A-B27C-2FB162830471}">
      <dsp:nvSpPr>
        <dsp:cNvPr id="0" name=""/>
        <dsp:cNvSpPr/>
      </dsp:nvSpPr>
      <dsp:spPr>
        <a:xfrm>
          <a:off x="398046" y="9619"/>
          <a:ext cx="2436723" cy="2436723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22802-4E1C-4A31-91BE-3EF6BC82E217}">
      <dsp:nvSpPr>
        <dsp:cNvPr id="0" name=""/>
        <dsp:cNvSpPr/>
      </dsp:nvSpPr>
      <dsp:spPr>
        <a:xfrm>
          <a:off x="423859" y="54275"/>
          <a:ext cx="2436723" cy="2436723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F625C4-C59E-4A3E-83C2-888CC15BD3C4}">
      <dsp:nvSpPr>
        <dsp:cNvPr id="0" name=""/>
        <dsp:cNvSpPr/>
      </dsp:nvSpPr>
      <dsp:spPr>
        <a:xfrm>
          <a:off x="398046" y="98931"/>
          <a:ext cx="2436723" cy="2436723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CC940-6552-4910-8678-16BDF0CBE2B4}">
      <dsp:nvSpPr>
        <dsp:cNvPr id="0" name=""/>
        <dsp:cNvSpPr/>
      </dsp:nvSpPr>
      <dsp:spPr>
        <a:xfrm>
          <a:off x="346579" y="98931"/>
          <a:ext cx="2436723" cy="2436723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7BE6B5-2CD6-431C-A327-F588EAB3388C}">
      <dsp:nvSpPr>
        <dsp:cNvPr id="0" name=""/>
        <dsp:cNvSpPr/>
      </dsp:nvSpPr>
      <dsp:spPr>
        <a:xfrm>
          <a:off x="320766" y="54275"/>
          <a:ext cx="2436723" cy="2436723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389CA3-F92E-4167-9C04-A2B4C63081F8}">
      <dsp:nvSpPr>
        <dsp:cNvPr id="0" name=""/>
        <dsp:cNvSpPr/>
      </dsp:nvSpPr>
      <dsp:spPr>
        <a:xfrm>
          <a:off x="363947" y="100"/>
          <a:ext cx="2436723" cy="2436723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2430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Margolina</dc:creator>
  <cp:keywords/>
  <dc:description/>
  <cp:lastModifiedBy>Svetlana</cp:lastModifiedBy>
  <cp:revision>3</cp:revision>
  <dcterms:created xsi:type="dcterms:W3CDTF">2018-08-16T15:52:00Z</dcterms:created>
  <dcterms:modified xsi:type="dcterms:W3CDTF">2018-08-16T16:02:00Z</dcterms:modified>
</cp:coreProperties>
</file>